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Ахтырского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0240F4">
        <w:rPr>
          <w:sz w:val="28"/>
          <w:szCs w:val="28"/>
        </w:rPr>
        <w:t xml:space="preserve">  № 30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>
              <w:rPr>
                <w:sz w:val="28"/>
                <w:szCs w:val="28"/>
              </w:rPr>
              <w:t xml:space="preserve">Ахтырское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>Уставом Ахтырского сельского поселения адм</w:t>
      </w:r>
      <w:r w:rsidR="00E06DAD" w:rsidRPr="005419B7">
        <w:rPr>
          <w:sz w:val="28"/>
          <w:szCs w:val="28"/>
        </w:rPr>
        <w:t>и</w:t>
      </w:r>
      <w:r w:rsidR="00E06DAD" w:rsidRPr="005419B7">
        <w:rPr>
          <w:sz w:val="28"/>
          <w:szCs w:val="28"/>
        </w:rPr>
        <w:t>нистрация Ахтырского сельского поселения</w:t>
      </w:r>
      <w:proofErr w:type="gramEnd"/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E06DAD">
        <w:rPr>
          <w:sz w:val="28"/>
          <w:szCs w:val="28"/>
        </w:rPr>
        <w:t xml:space="preserve">Ахтырское сельское поселение </w:t>
      </w:r>
      <w:r w:rsidRPr="006B73AA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Ахтырского сельского поселения                                        </w:t>
      </w:r>
      <w:r w:rsidR="00583DBE">
        <w:rPr>
          <w:sz w:val="28"/>
          <w:szCs w:val="28"/>
        </w:rPr>
        <w:t xml:space="preserve">        </w:t>
      </w:r>
      <w:r w:rsidRPr="005419B7">
        <w:rPr>
          <w:sz w:val="28"/>
          <w:szCs w:val="28"/>
        </w:rPr>
        <w:t xml:space="preserve">  А.М. Давудов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>министрации Ахтырского сельск</w:t>
            </w:r>
            <w:r w:rsidRPr="004435E1">
              <w:rPr>
                <w:sz w:val="28"/>
                <w:szCs w:val="28"/>
              </w:rPr>
              <w:t>о</w:t>
            </w:r>
            <w:r w:rsidRPr="004435E1">
              <w:rPr>
                <w:sz w:val="28"/>
                <w:szCs w:val="28"/>
              </w:rPr>
              <w:t>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Pr="004435E1">
              <w:rPr>
                <w:sz w:val="28"/>
                <w:szCs w:val="28"/>
              </w:rPr>
              <w:t xml:space="preserve"> 2015 г</w:t>
            </w:r>
            <w:r w:rsidRPr="004435E1">
              <w:rPr>
                <w:sz w:val="28"/>
                <w:szCs w:val="28"/>
              </w:rPr>
              <w:t>о</w:t>
            </w:r>
            <w:r w:rsidR="000240F4">
              <w:rPr>
                <w:sz w:val="28"/>
                <w:szCs w:val="28"/>
              </w:rPr>
              <w:t>да №30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E06DAD">
        <w:rPr>
          <w:sz w:val="28"/>
          <w:szCs w:val="28"/>
        </w:rPr>
        <w:t xml:space="preserve">Ахтырское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E06DAD">
        <w:rPr>
          <w:sz w:val="28"/>
          <w:szCs w:val="28"/>
        </w:rPr>
        <w:t xml:space="preserve">Ахтырское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E06DAD">
        <w:rPr>
          <w:sz w:val="28"/>
          <w:szCs w:val="28"/>
        </w:rPr>
        <w:t>Ахтырское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F92127">
        <w:fldChar w:fldCharType="begin"/>
      </w:r>
      <w:r w:rsidR="004E6D94">
        <w:instrText>HYPERLINK \l "sub_3992"</w:instrText>
      </w:r>
      <w:r w:rsidR="00F92127">
        <w:fldChar w:fldCharType="separate"/>
      </w:r>
      <w:r w:rsidRPr="00436F15">
        <w:rPr>
          <w:sz w:val="28"/>
          <w:szCs w:val="28"/>
        </w:rPr>
        <w:t>пункте 1.5.1.</w:t>
      </w:r>
      <w:r w:rsidR="00F92127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E06DAD" w:rsidRDefault="007D2CC9" w:rsidP="00E06DAD">
      <w:pPr>
        <w:ind w:firstLine="709"/>
        <w:jc w:val="both"/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E06DAD" w:rsidRPr="00C9777E">
        <w:rPr>
          <w:sz w:val="28"/>
          <w:szCs w:val="28"/>
        </w:rPr>
        <w:t xml:space="preserve">303421, Орловская область, Колпнянский район, </w:t>
      </w:r>
      <w:proofErr w:type="gramStart"/>
      <w:r w:rsidR="00E06DAD" w:rsidRPr="00C9777E">
        <w:rPr>
          <w:sz w:val="28"/>
          <w:szCs w:val="28"/>
        </w:rPr>
        <w:t>с</w:t>
      </w:r>
      <w:proofErr w:type="gramEnd"/>
      <w:r w:rsidR="00E06DAD" w:rsidRPr="00C9777E">
        <w:rPr>
          <w:sz w:val="28"/>
          <w:szCs w:val="28"/>
        </w:rPr>
        <w:t>. Ахтырка, д.82</w:t>
      </w:r>
      <w:r w:rsidR="00E06DAD">
        <w:rPr>
          <w:sz w:val="28"/>
          <w:szCs w:val="28"/>
        </w:rPr>
        <w:t>.</w:t>
      </w:r>
    </w:p>
    <w:p w:rsidR="00E06DAD" w:rsidRDefault="00E06DAD" w:rsidP="00E06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E507E4">
        <w:rPr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E507E4">
        <w:rPr>
          <w:snapToGrid w:val="0"/>
          <w:color w:val="1D1B11"/>
          <w:sz w:val="28"/>
          <w:szCs w:val="28"/>
        </w:rPr>
        <w:t>@</w:t>
      </w:r>
      <w:r w:rsidRPr="00E507E4">
        <w:rPr>
          <w:snapToGrid w:val="0"/>
          <w:color w:val="1D1B11"/>
          <w:sz w:val="28"/>
          <w:szCs w:val="28"/>
          <w:lang w:val="en-US"/>
        </w:rPr>
        <w:t>mail</w:t>
      </w:r>
      <w:r w:rsidRPr="00E507E4">
        <w:rPr>
          <w:snapToGrid w:val="0"/>
          <w:color w:val="1D1B11"/>
          <w:sz w:val="28"/>
          <w:szCs w:val="28"/>
        </w:rPr>
        <w:t>.</w:t>
      </w:r>
      <w:r w:rsidRPr="00E507E4">
        <w:rPr>
          <w:snapToGrid w:val="0"/>
          <w:color w:val="1D1B11"/>
          <w:sz w:val="28"/>
          <w:szCs w:val="28"/>
          <w:lang w:val="en-US"/>
        </w:rPr>
        <w:t>ru</w:t>
      </w:r>
    </w:p>
    <w:p w:rsidR="00E06DAD" w:rsidRDefault="00E06DAD" w:rsidP="00E06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>
        <w:rPr>
          <w:sz w:val="28"/>
          <w:szCs w:val="28"/>
        </w:rPr>
        <w:t>7-51</w:t>
      </w:r>
    </w:p>
    <w:p w:rsid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E06DAD">
        <w:rPr>
          <w:sz w:val="28"/>
          <w:szCs w:val="28"/>
        </w:rPr>
        <w:t>Ахтырское сельское пос</w:t>
      </w:r>
      <w:r w:rsidR="00E06DAD">
        <w:rPr>
          <w:sz w:val="28"/>
          <w:szCs w:val="28"/>
        </w:rPr>
        <w:t>е</w:t>
      </w:r>
      <w:r w:rsidR="00E06DAD">
        <w:rPr>
          <w:sz w:val="28"/>
          <w:szCs w:val="28"/>
        </w:rPr>
        <w:t>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583DBE">
        <w:rPr>
          <w:sz w:val="28"/>
          <w:szCs w:val="28"/>
        </w:rPr>
        <w:t>Ахтырского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583DBE">
        <w:rPr>
          <w:sz w:val="28"/>
          <w:szCs w:val="28"/>
        </w:rPr>
        <w:t>Ахтырского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583DBE">
        <w:rPr>
          <w:color w:val="000000"/>
          <w:sz w:val="28"/>
          <w:szCs w:val="28"/>
        </w:rPr>
        <w:t>Ахтырского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DAD">
        <w:rPr>
          <w:sz w:val="28"/>
          <w:szCs w:val="28"/>
        </w:rPr>
        <w:t>А</w:t>
      </w:r>
      <w:r w:rsidR="00E06DAD">
        <w:rPr>
          <w:sz w:val="28"/>
          <w:szCs w:val="28"/>
        </w:rPr>
        <w:t>х</w:t>
      </w:r>
      <w:r w:rsidR="00E06DAD">
        <w:rPr>
          <w:sz w:val="28"/>
          <w:szCs w:val="28"/>
        </w:rPr>
        <w:t>тырское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2) наименование и место нахождения заявителя (для юридического лица), а </w:t>
      </w:r>
      <w:r w:rsidRPr="003A19F7">
        <w:rPr>
          <w:sz w:val="28"/>
          <w:szCs w:val="28"/>
        </w:rPr>
        <w:lastRenderedPageBreak/>
        <w:t>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2.13) свидетельство о предоставлении временного убежища на территории </w:t>
      </w:r>
      <w:r w:rsidRPr="00B033A7">
        <w:rPr>
          <w:sz w:val="28"/>
          <w:szCs w:val="28"/>
        </w:rPr>
        <w:lastRenderedPageBreak/>
        <w:t>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7) указанный в заявлении о предоставлении земельного участка земельный </w:t>
      </w:r>
      <w:r w:rsidRPr="00516F35">
        <w:rPr>
          <w:sz w:val="28"/>
          <w:szCs w:val="28"/>
        </w:rPr>
        <w:lastRenderedPageBreak/>
        <w:t>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lastRenderedPageBreak/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lastRenderedPageBreak/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583DBE">
        <w:rPr>
          <w:bCs/>
          <w:color w:val="000000"/>
          <w:sz w:val="28"/>
          <w:szCs w:val="28"/>
        </w:rPr>
        <w:t>Ахтырского сельского поселения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необход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583DBE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583DBE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583DBE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583DBE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583DBE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 исполнение специалисту администрации ответственному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583DBE">
        <w:rPr>
          <w:sz w:val="28"/>
          <w:szCs w:val="28"/>
        </w:rPr>
        <w:t>Ахтырского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06DAD">
        <w:rPr>
          <w:sz w:val="28"/>
          <w:szCs w:val="28"/>
        </w:rPr>
        <w:t>Ахтырское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 xml:space="preserve">если не требуется образование испрашиваемого земельного участка или </w:t>
      </w:r>
      <w:r w:rsidRPr="00F911FD">
        <w:rPr>
          <w:sz w:val="28"/>
          <w:szCs w:val="28"/>
        </w:rPr>
        <w:lastRenderedPageBreak/>
        <w:t>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583DBE">
        <w:rPr>
          <w:sz w:val="28"/>
          <w:szCs w:val="28"/>
        </w:rPr>
        <w:t>Ахтырского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583DBE">
        <w:rPr>
          <w:sz w:val="28"/>
          <w:szCs w:val="28"/>
        </w:rPr>
        <w:t>Ахтырского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583DBE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B2" w:rsidRDefault="007958B2" w:rsidP="004E6D94">
      <w:r>
        <w:separator/>
      </w:r>
    </w:p>
  </w:endnote>
  <w:endnote w:type="continuationSeparator" w:id="0">
    <w:p w:rsidR="007958B2" w:rsidRDefault="007958B2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F92127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7958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F92127">
        <w:pPr>
          <w:pStyle w:val="a6"/>
          <w:jc w:val="right"/>
        </w:pPr>
        <w:fldSimple w:instr=" PAGE   \* MERGEFORMAT ">
          <w:r w:rsidR="000240F4">
            <w:rPr>
              <w:noProof/>
            </w:rPr>
            <w:t>2</w:t>
          </w:r>
        </w:fldSimple>
      </w:p>
    </w:sdtContent>
  </w:sdt>
  <w:p w:rsidR="00C6163F" w:rsidRDefault="007958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B2" w:rsidRDefault="007958B2" w:rsidP="004E6D94">
      <w:r>
        <w:separator/>
      </w:r>
    </w:p>
  </w:footnote>
  <w:footnote w:type="continuationSeparator" w:id="0">
    <w:p w:rsidR="007958B2" w:rsidRDefault="007958B2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240F4"/>
    <w:rsid w:val="00045609"/>
    <w:rsid w:val="00325BF4"/>
    <w:rsid w:val="004E6D94"/>
    <w:rsid w:val="00583DBE"/>
    <w:rsid w:val="006F0EDC"/>
    <w:rsid w:val="007958B2"/>
    <w:rsid w:val="007D2CC9"/>
    <w:rsid w:val="007E7B09"/>
    <w:rsid w:val="007F6C9F"/>
    <w:rsid w:val="00C226F7"/>
    <w:rsid w:val="00E06DAD"/>
    <w:rsid w:val="00EC099A"/>
    <w:rsid w:val="00ED6BA7"/>
    <w:rsid w:val="00F9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7322</Words>
  <Characters>41741</Characters>
  <Application>Microsoft Office Word</Application>
  <DocSecurity>0</DocSecurity>
  <Lines>347</Lines>
  <Paragraphs>97</Paragraphs>
  <ScaleCrop>false</ScaleCrop>
  <Company>Администрация Колпнянского р-на</Company>
  <LinksUpToDate>false</LinksUpToDate>
  <CharactersWithSpaces>48966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2015-12-04T13:45:00Z</dcterms:created>
  <dcterms:modified xsi:type="dcterms:W3CDTF">2015-12-07T05:29:00Z</dcterms:modified>
</cp:coreProperties>
</file>