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КОЛПНЯНСКИЙ РАЙОННЫЙ</w:t>
      </w: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марта 2023 года                                                                       № 105 </w:t>
      </w: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Spec="inside"/>
        <w:tblW w:w="0" w:type="auto"/>
        <w:tblLook w:val="0000" w:firstRow="0" w:lastRow="0" w:firstColumn="0" w:lastColumn="0" w:noHBand="0" w:noVBand="0"/>
      </w:tblPr>
      <w:tblGrid>
        <w:gridCol w:w="3703"/>
      </w:tblGrid>
      <w:tr w:rsidR="001D479C" w:rsidRPr="001D479C" w:rsidTr="006804DF">
        <w:trPr>
          <w:trHeight w:val="909"/>
        </w:trPr>
        <w:tc>
          <w:tcPr>
            <w:tcW w:w="3703" w:type="dxa"/>
          </w:tcPr>
          <w:p w:rsidR="001D479C" w:rsidRPr="001D479C" w:rsidRDefault="001D479C" w:rsidP="001D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21 заседании Колпнянского районного Совета народных депутатов</w:t>
            </w:r>
          </w:p>
          <w:p w:rsidR="001D479C" w:rsidRPr="001D479C" w:rsidRDefault="001D479C" w:rsidP="001D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80"/>
      </w:tblGrid>
      <w:tr w:rsidR="001D479C" w:rsidRPr="001D479C" w:rsidTr="006804DF">
        <w:trPr>
          <w:trHeight w:val="988"/>
        </w:trPr>
        <w:tc>
          <w:tcPr>
            <w:tcW w:w="5580" w:type="dxa"/>
          </w:tcPr>
          <w:p w:rsidR="001D479C" w:rsidRPr="001D479C" w:rsidRDefault="001D479C" w:rsidP="001D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председателя Контрольно-счетной палаты Колпнянского района Орловской области за 2022 год.</w:t>
            </w:r>
          </w:p>
        </w:tc>
      </w:tr>
    </w:tbl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руководствуясь   </w:t>
      </w:r>
      <w:hyperlink r:id="rId5" w:history="1">
        <w:r w:rsidRPr="001D4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Колпнянского  района Орловской области</w:t>
        </w:r>
      </w:hyperlink>
      <w:r w:rsidRPr="001D4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Колпнянский районный Совет народных депутатов</w:t>
      </w: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председателя Контрольно-счетной палаты Колпнянского района Орловской области за 2022 год.</w:t>
      </w: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Интернет-сайте администрации Колпнянского района.</w:t>
      </w:r>
    </w:p>
    <w:p w:rsidR="001D479C" w:rsidRPr="001D479C" w:rsidRDefault="001D479C" w:rsidP="001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принятое решение Главе Колпнянского района Орловской области для подписания и дальнейшего обнародования.</w:t>
      </w:r>
    </w:p>
    <w:p w:rsidR="001D479C" w:rsidRPr="001D479C" w:rsidRDefault="001D479C" w:rsidP="001D47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Колпнянского районного</w:t>
      </w:r>
    </w:p>
    <w:p w:rsidR="001D479C" w:rsidRPr="001D479C" w:rsidRDefault="001D479C" w:rsidP="001D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            Ю.И. Боев</w:t>
      </w:r>
    </w:p>
    <w:p w:rsidR="001D479C" w:rsidRPr="001D479C" w:rsidRDefault="001D479C" w:rsidP="001D47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C" w:rsidRPr="001D479C" w:rsidRDefault="001D479C" w:rsidP="001D47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Колпнянского района                                                            В.А. Громов</w:t>
      </w:r>
    </w:p>
    <w:p w:rsidR="00002F80" w:rsidRDefault="00002F80" w:rsidP="004670B6">
      <w:pPr>
        <w:spacing w:after="0" w:line="235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479C" w:rsidRDefault="001D479C" w:rsidP="004670B6">
      <w:pPr>
        <w:spacing w:after="0" w:line="235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479C" w:rsidRDefault="001D479C" w:rsidP="004670B6">
      <w:pPr>
        <w:spacing w:after="0" w:line="235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b"/>
        <w:tblpPr w:leftFromText="180" w:rightFromText="180" w:vertAnchor="page" w:horzAnchor="margin" w:tblpXSpec="right" w:tblpY="1441"/>
        <w:tblW w:w="0" w:type="auto"/>
        <w:tblLook w:val="04A0" w:firstRow="1" w:lastRow="0" w:firstColumn="1" w:lastColumn="0" w:noHBand="0" w:noVBand="1"/>
      </w:tblPr>
      <w:tblGrid>
        <w:gridCol w:w="4444"/>
      </w:tblGrid>
      <w:tr w:rsidR="001D479C" w:rsidTr="001D479C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1D479C" w:rsidRPr="00002F80" w:rsidRDefault="001D479C" w:rsidP="001D479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 Колпнянского районного Совета народных депутатов от «2» марта 2023 года № 105</w:t>
            </w:r>
          </w:p>
        </w:tc>
      </w:tr>
    </w:tbl>
    <w:p w:rsidR="001D479C" w:rsidRDefault="001D479C" w:rsidP="004670B6">
      <w:pPr>
        <w:spacing w:after="0" w:line="235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479C" w:rsidRDefault="001D479C" w:rsidP="004670B6">
      <w:pPr>
        <w:spacing w:after="0" w:line="235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479C" w:rsidRDefault="001D479C" w:rsidP="004670B6">
      <w:pPr>
        <w:spacing w:after="0" w:line="235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479C" w:rsidRDefault="001D479C" w:rsidP="001D479C">
      <w:pPr>
        <w:spacing w:after="0" w:line="235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4670B6" w:rsidRPr="00486C57" w:rsidRDefault="004670B6" w:rsidP="004670B6">
      <w:pPr>
        <w:spacing w:after="0" w:line="235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6C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Т Ч Е Т</w:t>
      </w:r>
    </w:p>
    <w:p w:rsidR="004670B6" w:rsidRPr="00486C57" w:rsidRDefault="004670B6" w:rsidP="004670B6">
      <w:pPr>
        <w:spacing w:after="0" w:line="235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0B6" w:rsidRPr="00E82AE4" w:rsidRDefault="004670B6" w:rsidP="004670B6">
      <w:pPr>
        <w:spacing w:after="0" w:line="235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</w:t>
      </w:r>
      <w:r w:rsidRPr="00E8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Контрольно-счетной палаты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Колпнянского района Орловской области</w:t>
      </w:r>
    </w:p>
    <w:p w:rsidR="004670B6" w:rsidRPr="00700851" w:rsidRDefault="004670B6" w:rsidP="00700851">
      <w:pPr>
        <w:spacing w:after="0" w:line="235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E8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74100" w:rsidRP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 w:rsidR="004670B6">
        <w:rPr>
          <w:color w:val="212529"/>
          <w:sz w:val="28"/>
          <w:szCs w:val="28"/>
        </w:rPr>
        <w:t xml:space="preserve">     </w:t>
      </w:r>
      <w:r>
        <w:rPr>
          <w:color w:val="212529"/>
          <w:sz w:val="28"/>
          <w:szCs w:val="28"/>
        </w:rPr>
        <w:t>О</w:t>
      </w:r>
      <w:r w:rsidRPr="00F74100">
        <w:rPr>
          <w:color w:val="212529"/>
          <w:sz w:val="28"/>
          <w:szCs w:val="28"/>
        </w:rPr>
        <w:t>тчет о деятельности Кон</w:t>
      </w:r>
      <w:r>
        <w:rPr>
          <w:color w:val="212529"/>
          <w:sz w:val="28"/>
          <w:szCs w:val="28"/>
        </w:rPr>
        <w:t>трольно-счетной палаты Колпнянского</w:t>
      </w:r>
      <w:r w:rsidRPr="00F74100">
        <w:rPr>
          <w:color w:val="212529"/>
          <w:sz w:val="28"/>
          <w:szCs w:val="28"/>
        </w:rPr>
        <w:t xml:space="preserve"> района Орловской области (далее – КСП) подготовлен в соответствии со статьей 19 Федерального закона от 07.02.2011г. № 6-ФЗ «Об общих принципах организации и деятельности контрольно-счетных органов Российской Федерации и муницип</w:t>
      </w:r>
      <w:r>
        <w:rPr>
          <w:color w:val="212529"/>
          <w:sz w:val="28"/>
          <w:szCs w:val="28"/>
        </w:rPr>
        <w:t>альных образований» и статьей 4 пункт 35</w:t>
      </w:r>
      <w:r w:rsidRPr="00F74100">
        <w:rPr>
          <w:color w:val="212529"/>
          <w:sz w:val="28"/>
          <w:szCs w:val="28"/>
        </w:rPr>
        <w:t xml:space="preserve"> Положения о Кон</w:t>
      </w:r>
      <w:r>
        <w:rPr>
          <w:color w:val="212529"/>
          <w:sz w:val="28"/>
          <w:szCs w:val="28"/>
        </w:rPr>
        <w:t>трольно-счетной палате Колпнянского</w:t>
      </w:r>
      <w:r w:rsidRPr="00F74100">
        <w:rPr>
          <w:color w:val="212529"/>
          <w:sz w:val="28"/>
          <w:szCs w:val="28"/>
        </w:rPr>
        <w:t xml:space="preserve"> района Орловской области, </w:t>
      </w:r>
      <w:r>
        <w:rPr>
          <w:color w:val="212529"/>
          <w:sz w:val="28"/>
          <w:szCs w:val="28"/>
        </w:rPr>
        <w:t>утвержденного решением Колпнянского</w:t>
      </w:r>
      <w:r w:rsidRPr="00F74100">
        <w:rPr>
          <w:color w:val="212529"/>
          <w:sz w:val="28"/>
          <w:szCs w:val="28"/>
        </w:rPr>
        <w:t xml:space="preserve"> районного С</w:t>
      </w:r>
      <w:r>
        <w:rPr>
          <w:color w:val="212529"/>
          <w:sz w:val="28"/>
          <w:szCs w:val="28"/>
        </w:rPr>
        <w:t>овета народных депутатов   от 15.09.2021г. № 245</w:t>
      </w:r>
      <w:r w:rsidRPr="00F74100">
        <w:rPr>
          <w:color w:val="212529"/>
          <w:sz w:val="28"/>
          <w:szCs w:val="28"/>
        </w:rPr>
        <w:t>.</w:t>
      </w:r>
    </w:p>
    <w:p w:rsidR="00F74100" w:rsidRPr="00F74100" w:rsidRDefault="004670B6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="00F74100" w:rsidRPr="00F74100">
        <w:rPr>
          <w:color w:val="212529"/>
          <w:sz w:val="28"/>
          <w:szCs w:val="28"/>
        </w:rPr>
        <w:t>Контрольно-счетная палат</w:t>
      </w:r>
      <w:r w:rsidR="00F74100">
        <w:rPr>
          <w:color w:val="212529"/>
          <w:sz w:val="28"/>
          <w:szCs w:val="28"/>
        </w:rPr>
        <w:t xml:space="preserve">а Колпнянского </w:t>
      </w:r>
      <w:proofErr w:type="gramStart"/>
      <w:r w:rsidR="00F74100">
        <w:rPr>
          <w:color w:val="212529"/>
          <w:sz w:val="28"/>
          <w:szCs w:val="28"/>
        </w:rPr>
        <w:t xml:space="preserve">района </w:t>
      </w:r>
      <w:r w:rsidR="00F74100" w:rsidRPr="00F74100">
        <w:rPr>
          <w:color w:val="212529"/>
          <w:sz w:val="28"/>
          <w:szCs w:val="28"/>
        </w:rPr>
        <w:t xml:space="preserve"> осуществляла</w:t>
      </w:r>
      <w:proofErr w:type="gramEnd"/>
      <w:r w:rsidR="00F74100" w:rsidRPr="00F74100">
        <w:rPr>
          <w:color w:val="212529"/>
          <w:sz w:val="28"/>
          <w:szCs w:val="28"/>
        </w:rPr>
        <w:t xml:space="preserve"> внешний муниципальный </w:t>
      </w:r>
      <w:r w:rsidR="00F74100">
        <w:rPr>
          <w:color w:val="212529"/>
          <w:sz w:val="28"/>
          <w:szCs w:val="28"/>
        </w:rPr>
        <w:t xml:space="preserve">финансовый </w:t>
      </w:r>
      <w:r w:rsidR="00F74100" w:rsidRPr="00F74100">
        <w:rPr>
          <w:color w:val="212529"/>
          <w:sz w:val="28"/>
          <w:szCs w:val="28"/>
        </w:rPr>
        <w:t>контроль в соответствии с полномочиями, установленными Бюджетным Кодексом РФ, Федеральным законом от 07.02.2011г. № 6-ФЗ «Об общих принципах организации и деятельности контрольно-счетных органов Российской Федерации и муниципальных</w:t>
      </w:r>
      <w:r w:rsidR="00F74100">
        <w:rPr>
          <w:color w:val="212529"/>
          <w:sz w:val="28"/>
          <w:szCs w:val="28"/>
        </w:rPr>
        <w:t xml:space="preserve"> образований», Уставом Колпнянского</w:t>
      </w:r>
      <w:r w:rsidR="00F74100" w:rsidRPr="00F74100">
        <w:rPr>
          <w:color w:val="212529"/>
          <w:sz w:val="28"/>
          <w:szCs w:val="28"/>
        </w:rPr>
        <w:t xml:space="preserve"> района и другими нормативными правовыми актами.</w:t>
      </w:r>
    </w:p>
    <w:p w:rsidR="00F74100" w:rsidRPr="00F74100" w:rsidRDefault="004670B6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1</w:t>
      </w:r>
      <w:r w:rsidR="00F74100" w:rsidRPr="00F74100">
        <w:rPr>
          <w:rStyle w:val="a4"/>
          <w:color w:val="212529"/>
          <w:sz w:val="28"/>
          <w:szCs w:val="28"/>
        </w:rPr>
        <w:t>.Основные направления и результаты деятельности Контрольно-счетной палаты</w:t>
      </w:r>
    </w:p>
    <w:p w:rsidR="00F74100" w:rsidRP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Pr="00F74100">
        <w:rPr>
          <w:color w:val="212529"/>
          <w:sz w:val="28"/>
          <w:szCs w:val="28"/>
        </w:rPr>
        <w:t>Контрольно-счетная палата осуществляла свою деятельность на основе плана работы, утвержденного председа</w:t>
      </w:r>
      <w:r w:rsidR="004670B6">
        <w:rPr>
          <w:color w:val="212529"/>
          <w:sz w:val="28"/>
          <w:szCs w:val="28"/>
        </w:rPr>
        <w:t>телем Контрольно-счетной палаты, а также поручениями Главы Колпнянского района.</w:t>
      </w:r>
    </w:p>
    <w:p w:rsidR="00F74100" w:rsidRP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Pr="00F74100">
        <w:rPr>
          <w:color w:val="212529"/>
          <w:sz w:val="28"/>
          <w:szCs w:val="28"/>
        </w:rPr>
        <w:t>В соответствии с утвержденным Планом работы К</w:t>
      </w:r>
      <w:r>
        <w:rPr>
          <w:color w:val="212529"/>
          <w:sz w:val="28"/>
          <w:szCs w:val="28"/>
        </w:rPr>
        <w:t>онтрольно-счетной палаты на 2022</w:t>
      </w:r>
      <w:r w:rsidRPr="00F74100">
        <w:rPr>
          <w:color w:val="212529"/>
          <w:sz w:val="28"/>
          <w:szCs w:val="28"/>
        </w:rPr>
        <w:t xml:space="preserve"> год определены приоритетные направления деятельности: контроль законности, результативности использования бюджетных средств; контроль за исполнением бюджетных полномочий главных администрат</w:t>
      </w:r>
      <w:r>
        <w:rPr>
          <w:color w:val="212529"/>
          <w:sz w:val="28"/>
          <w:szCs w:val="28"/>
        </w:rPr>
        <w:t>оров бюджетных средств</w:t>
      </w:r>
      <w:r w:rsidRPr="00F74100">
        <w:rPr>
          <w:color w:val="212529"/>
          <w:sz w:val="28"/>
          <w:szCs w:val="28"/>
        </w:rPr>
        <w:t>; контроль за использованием муниципального имущества; обеспечение контроля за формированием и реализацией муниципаль</w:t>
      </w:r>
      <w:r>
        <w:rPr>
          <w:color w:val="212529"/>
          <w:sz w:val="28"/>
          <w:szCs w:val="28"/>
        </w:rPr>
        <w:t xml:space="preserve">ных программ, </w:t>
      </w:r>
      <w:r w:rsidRPr="00F74100">
        <w:rPr>
          <w:color w:val="212529"/>
          <w:sz w:val="28"/>
          <w:szCs w:val="28"/>
        </w:rPr>
        <w:t xml:space="preserve"> аудит  в сфере закупок; контроль за устранением выявленных нарушений по представлениям Контрольно-счетной палаты, направленным объектам контроля.</w:t>
      </w:r>
    </w:p>
    <w:p w:rsidR="00F74100" w:rsidRDefault="004670B6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="00F74100" w:rsidRPr="00F74100">
        <w:rPr>
          <w:color w:val="212529"/>
          <w:sz w:val="28"/>
          <w:szCs w:val="28"/>
        </w:rPr>
        <w:t xml:space="preserve">За </w:t>
      </w:r>
      <w:r w:rsidR="00127A5D">
        <w:rPr>
          <w:color w:val="212529"/>
          <w:sz w:val="28"/>
          <w:szCs w:val="28"/>
        </w:rPr>
        <w:t>отчетный период КСП проведено 30 мероприятий</w:t>
      </w:r>
      <w:r w:rsidR="00F74100" w:rsidRPr="00F74100">
        <w:rPr>
          <w:color w:val="212529"/>
          <w:sz w:val="28"/>
          <w:szCs w:val="28"/>
        </w:rPr>
        <w:t>, в том числ</w:t>
      </w:r>
      <w:r w:rsidR="00127A5D">
        <w:rPr>
          <w:color w:val="212529"/>
          <w:sz w:val="28"/>
          <w:szCs w:val="28"/>
        </w:rPr>
        <w:t>е 26</w:t>
      </w:r>
      <w:r w:rsidR="00F74100">
        <w:rPr>
          <w:color w:val="212529"/>
          <w:sz w:val="28"/>
          <w:szCs w:val="28"/>
        </w:rPr>
        <w:t xml:space="preserve"> экспер</w:t>
      </w:r>
      <w:r w:rsidR="00127A5D">
        <w:rPr>
          <w:color w:val="212529"/>
          <w:sz w:val="28"/>
          <w:szCs w:val="28"/>
        </w:rPr>
        <w:t>тно-аналитических</w:t>
      </w:r>
      <w:r w:rsidR="00F74100">
        <w:rPr>
          <w:color w:val="212529"/>
          <w:sz w:val="28"/>
          <w:szCs w:val="28"/>
        </w:rPr>
        <w:t xml:space="preserve"> и 4 контрольных мероприятия</w:t>
      </w:r>
      <w:r w:rsidR="00F74100" w:rsidRPr="00F74100">
        <w:rPr>
          <w:color w:val="212529"/>
          <w:sz w:val="28"/>
          <w:szCs w:val="28"/>
        </w:rPr>
        <w:t>.</w:t>
      </w:r>
    </w:p>
    <w:p w:rsidR="00B52E0B" w:rsidRDefault="00B52E0B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Объем проверенных средств составил 259 431,2 тыс. рублей.</w:t>
      </w:r>
    </w:p>
    <w:p w:rsidR="00F74100" w:rsidRP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t>По итогам мероприятий сумма нарушени</w:t>
      </w:r>
      <w:r w:rsidR="00C7228E">
        <w:rPr>
          <w:color w:val="212529"/>
          <w:sz w:val="28"/>
          <w:szCs w:val="28"/>
        </w:rPr>
        <w:t xml:space="preserve">й </w:t>
      </w:r>
      <w:r w:rsidR="003754C1">
        <w:rPr>
          <w:color w:val="212529"/>
          <w:sz w:val="28"/>
          <w:szCs w:val="28"/>
        </w:rPr>
        <w:t xml:space="preserve">и недостатков </w:t>
      </w:r>
      <w:r w:rsidR="00C7228E">
        <w:rPr>
          <w:color w:val="212529"/>
          <w:sz w:val="28"/>
          <w:szCs w:val="28"/>
        </w:rPr>
        <w:t>состав</w:t>
      </w:r>
      <w:r w:rsidR="007940E1">
        <w:rPr>
          <w:color w:val="212529"/>
          <w:sz w:val="28"/>
          <w:szCs w:val="28"/>
        </w:rPr>
        <w:t>ила 9 462</w:t>
      </w:r>
      <w:r w:rsidRPr="00F74100">
        <w:rPr>
          <w:color w:val="212529"/>
          <w:sz w:val="28"/>
          <w:szCs w:val="28"/>
        </w:rPr>
        <w:t xml:space="preserve"> тыс. рублей.</w:t>
      </w:r>
    </w:p>
    <w:p w:rsidR="00B52E0B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lastRenderedPageBreak/>
        <w:t> Как и в прошлые периоды</w:t>
      </w:r>
      <w:r w:rsidR="00700851">
        <w:rPr>
          <w:color w:val="212529"/>
          <w:sz w:val="28"/>
          <w:szCs w:val="28"/>
        </w:rPr>
        <w:t>,</w:t>
      </w:r>
      <w:r w:rsidRPr="00F74100">
        <w:rPr>
          <w:color w:val="212529"/>
          <w:sz w:val="28"/>
          <w:szCs w:val="28"/>
        </w:rPr>
        <w:t xml:space="preserve"> наибольший удельный вес в общем объеме выявленных нарушений по сумме приходится на нарушения ведения бухгалтерского учета, составления и представления бухгалтерско</w:t>
      </w:r>
      <w:r w:rsidR="00B52E0B">
        <w:rPr>
          <w:color w:val="212529"/>
          <w:sz w:val="28"/>
          <w:szCs w:val="28"/>
        </w:rPr>
        <w:t>й (финансовой) отчетности.</w:t>
      </w:r>
    </w:p>
    <w:p w:rsidR="00C7228E" w:rsidRPr="00F74100" w:rsidRDefault="00B52E0B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Основные нарушения:</w:t>
      </w:r>
    </w:p>
    <w:p w:rsidR="00C7228E" w:rsidRPr="00C7228E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="003754C1">
        <w:rPr>
          <w:sz w:val="28"/>
          <w:szCs w:val="28"/>
        </w:rPr>
        <w:t>-  не эффективное расходования денежных средств (статья 34 БК РФ), выражавшееся в отвлечение денежных средств на уплату штрафов и пеней;</w:t>
      </w:r>
    </w:p>
    <w:p w:rsidR="00C7228E" w:rsidRPr="00C7228E" w:rsidRDefault="003754C1" w:rsidP="00700851">
      <w:pPr>
        <w:tabs>
          <w:tab w:val="left" w:pos="2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нарушение  ведения</w:t>
      </w:r>
      <w:r w:rsidR="00C7228E" w:rsidRPr="00C7228E">
        <w:rPr>
          <w:rFonts w:ascii="Times New Roman" w:hAnsi="Times New Roman" w:cs="Times New Roman"/>
          <w:bCs/>
          <w:sz w:val="28"/>
          <w:szCs w:val="28"/>
        </w:rPr>
        <w:t xml:space="preserve"> бухгалтерского учета в соответствии с Приказом Министерства финансов РФ от 01.12.2010 года № 157н «Об утверждении единого плана счетов бухгалтерского учета </w:t>
      </w:r>
      <w:r w:rsidR="00700851">
        <w:rPr>
          <w:rFonts w:ascii="Times New Roman" w:hAnsi="Times New Roman" w:cs="Times New Roman"/>
          <w:bCs/>
          <w:sz w:val="28"/>
          <w:szCs w:val="28"/>
        </w:rPr>
        <w:t>и инструкции по его применению»;</w:t>
      </w:r>
    </w:p>
    <w:p w:rsidR="00C7228E" w:rsidRPr="00C7228E" w:rsidRDefault="003754C1" w:rsidP="0070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нарушение приказа</w:t>
      </w:r>
      <w:r w:rsidR="00C7228E" w:rsidRPr="00C7228E">
        <w:rPr>
          <w:rFonts w:ascii="Times New Roman" w:hAnsi="Times New Roman" w:cs="Times New Roman"/>
          <w:sz w:val="28"/>
          <w:szCs w:val="28"/>
        </w:rPr>
        <w:t xml:space="preserve"> Министерства Транспорта РФ от    11.09.2020 г. № 368, «Об утверждении обязательных реквизитов пор</w:t>
      </w:r>
      <w:r w:rsidR="00700851">
        <w:rPr>
          <w:rFonts w:ascii="Times New Roman" w:hAnsi="Times New Roman" w:cs="Times New Roman"/>
          <w:sz w:val="28"/>
          <w:szCs w:val="28"/>
        </w:rPr>
        <w:t>ядка заполнения путевых листов»;</w:t>
      </w:r>
    </w:p>
    <w:p w:rsidR="00C7228E" w:rsidRPr="00700851" w:rsidRDefault="003754C1" w:rsidP="0070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нарушение</w:t>
      </w:r>
      <w:r w:rsidR="00C7228E" w:rsidRPr="00C7228E">
        <w:rPr>
          <w:rFonts w:ascii="Times New Roman" w:hAnsi="Times New Roman" w:cs="Times New Roman"/>
          <w:sz w:val="28"/>
          <w:szCs w:val="28"/>
        </w:rPr>
        <w:t xml:space="preserve"> статьи 73 БК РФ, в соответствии с которой получатели бюджетных средств обязаны вести реестры закупок, осуществленных без заключения государственных или муниципальных контрактов (договоров).</w:t>
      </w:r>
    </w:p>
    <w:p w:rsidR="00F74100" w:rsidRDefault="00D52B86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="00F74100">
        <w:rPr>
          <w:color w:val="212529"/>
          <w:sz w:val="28"/>
          <w:szCs w:val="28"/>
        </w:rPr>
        <w:t xml:space="preserve">    </w:t>
      </w:r>
      <w:r w:rsidR="00700851">
        <w:rPr>
          <w:color w:val="212529"/>
          <w:sz w:val="28"/>
          <w:szCs w:val="28"/>
        </w:rPr>
        <w:t xml:space="preserve">1.1. </w:t>
      </w:r>
      <w:r w:rsidR="00F74100" w:rsidRPr="00F74100">
        <w:rPr>
          <w:color w:val="212529"/>
          <w:sz w:val="28"/>
          <w:szCs w:val="28"/>
        </w:rPr>
        <w:t>В целях реализации статьи 157, 268.1, 264.4 Бюджетного кодекс</w:t>
      </w:r>
      <w:r w:rsidR="00573E81">
        <w:rPr>
          <w:color w:val="212529"/>
          <w:sz w:val="28"/>
          <w:szCs w:val="28"/>
        </w:rPr>
        <w:t>а Российской Федерации, статьи 3</w:t>
      </w:r>
      <w:r w:rsidR="00F74100" w:rsidRPr="00F74100">
        <w:rPr>
          <w:color w:val="212529"/>
          <w:sz w:val="28"/>
          <w:szCs w:val="28"/>
        </w:rPr>
        <w:t xml:space="preserve"> Положения о Кон</w:t>
      </w:r>
      <w:r w:rsidR="00573E81">
        <w:rPr>
          <w:color w:val="212529"/>
          <w:sz w:val="28"/>
          <w:szCs w:val="28"/>
        </w:rPr>
        <w:t>трольно-счетной палате Колпнянского</w:t>
      </w:r>
      <w:r w:rsidR="00F74100" w:rsidRPr="00F74100">
        <w:rPr>
          <w:color w:val="212529"/>
          <w:sz w:val="28"/>
          <w:szCs w:val="28"/>
        </w:rPr>
        <w:t xml:space="preserve"> района Орловской области, Положени</w:t>
      </w:r>
      <w:r w:rsidR="00573E81">
        <w:rPr>
          <w:color w:val="212529"/>
          <w:sz w:val="28"/>
          <w:szCs w:val="28"/>
        </w:rPr>
        <w:t xml:space="preserve">я о бюджетном процессе в </w:t>
      </w:r>
      <w:proofErr w:type="gramStart"/>
      <w:r w:rsidR="00573E81">
        <w:rPr>
          <w:color w:val="212529"/>
          <w:sz w:val="28"/>
          <w:szCs w:val="28"/>
        </w:rPr>
        <w:t xml:space="preserve">Колпнянском </w:t>
      </w:r>
      <w:r w:rsidR="00F74100" w:rsidRPr="00F74100">
        <w:rPr>
          <w:color w:val="212529"/>
          <w:sz w:val="28"/>
          <w:szCs w:val="28"/>
        </w:rPr>
        <w:t xml:space="preserve"> районе</w:t>
      </w:r>
      <w:proofErr w:type="gramEnd"/>
      <w:r w:rsidR="00F74100" w:rsidRPr="00F74100">
        <w:rPr>
          <w:color w:val="212529"/>
          <w:sz w:val="28"/>
          <w:szCs w:val="28"/>
        </w:rPr>
        <w:t xml:space="preserve"> в  соответствии с Планом работы К</w:t>
      </w:r>
      <w:r w:rsidR="00573E81">
        <w:rPr>
          <w:color w:val="212529"/>
          <w:sz w:val="28"/>
          <w:szCs w:val="28"/>
        </w:rPr>
        <w:t>онтрольно-счетной палаты на 2022</w:t>
      </w:r>
      <w:r w:rsidR="00F74100" w:rsidRPr="00F74100">
        <w:rPr>
          <w:color w:val="212529"/>
          <w:sz w:val="28"/>
          <w:szCs w:val="28"/>
        </w:rPr>
        <w:t xml:space="preserve"> год, утвержденным распоряжением</w:t>
      </w:r>
      <w:r w:rsidR="00573E81">
        <w:rPr>
          <w:color w:val="212529"/>
          <w:sz w:val="28"/>
          <w:szCs w:val="28"/>
        </w:rPr>
        <w:t xml:space="preserve"> Контрольно-счетной палаты от 27 декабря 2021 года №  5</w:t>
      </w:r>
      <w:r w:rsidR="00700851">
        <w:rPr>
          <w:color w:val="212529"/>
          <w:sz w:val="28"/>
          <w:szCs w:val="28"/>
        </w:rPr>
        <w:t>,</w:t>
      </w:r>
      <w:r w:rsidR="00F74100" w:rsidRPr="00F74100">
        <w:rPr>
          <w:color w:val="212529"/>
          <w:sz w:val="28"/>
          <w:szCs w:val="28"/>
        </w:rPr>
        <w:t xml:space="preserve"> в рамках  аналитической работы по вопросам  бюджетного процесса  КСП проведены:</w:t>
      </w:r>
    </w:p>
    <w:p w:rsidR="00573E81" w:rsidRPr="00F74100" w:rsidRDefault="00573E81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В рамках последующего контроля:</w:t>
      </w:r>
    </w:p>
    <w:p w:rsidR="00F74100" w:rsidRP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t>- внешняя проверка годовой бюджетной отчетности главных администр</w:t>
      </w:r>
      <w:r w:rsidR="00573E81">
        <w:rPr>
          <w:color w:val="212529"/>
          <w:sz w:val="28"/>
          <w:szCs w:val="28"/>
        </w:rPr>
        <w:t>аторов средств бюджета Колпнянского</w:t>
      </w:r>
      <w:r w:rsidRPr="00F74100">
        <w:rPr>
          <w:color w:val="212529"/>
          <w:sz w:val="28"/>
          <w:szCs w:val="28"/>
        </w:rPr>
        <w:t xml:space="preserve"> </w:t>
      </w:r>
      <w:r w:rsidR="00573E81">
        <w:rPr>
          <w:color w:val="212529"/>
          <w:sz w:val="28"/>
          <w:szCs w:val="28"/>
        </w:rPr>
        <w:t>района за 2021</w:t>
      </w:r>
      <w:r w:rsidRPr="00F74100">
        <w:rPr>
          <w:color w:val="212529"/>
          <w:sz w:val="28"/>
          <w:szCs w:val="28"/>
        </w:rPr>
        <w:t xml:space="preserve"> год;</w:t>
      </w:r>
    </w:p>
    <w:p w:rsidR="00F74100" w:rsidRP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t>- внешняя проверка годового отчета</w:t>
      </w:r>
      <w:r w:rsidR="00573E81">
        <w:rPr>
          <w:color w:val="212529"/>
          <w:sz w:val="28"/>
          <w:szCs w:val="28"/>
        </w:rPr>
        <w:t xml:space="preserve"> об исполнении бюджета Колпнянского района за 2021 </w:t>
      </w:r>
      <w:r w:rsidRPr="00F74100">
        <w:rPr>
          <w:color w:val="212529"/>
          <w:sz w:val="28"/>
          <w:szCs w:val="28"/>
        </w:rPr>
        <w:t>год;</w:t>
      </w:r>
    </w:p>
    <w:p w:rsid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t>- внешняя проверка годового отчета об исполнении бю</w:t>
      </w:r>
      <w:r w:rsidR="00573E81">
        <w:rPr>
          <w:color w:val="212529"/>
          <w:sz w:val="28"/>
          <w:szCs w:val="28"/>
        </w:rPr>
        <w:t>джета городского поселения Колпна и 9 сельских поселений Колпн</w:t>
      </w:r>
      <w:r w:rsidR="000534B3">
        <w:rPr>
          <w:color w:val="212529"/>
          <w:sz w:val="28"/>
          <w:szCs w:val="28"/>
        </w:rPr>
        <w:t>янского района за 2021 год;</w:t>
      </w:r>
    </w:p>
    <w:p w:rsid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t>- анализ прое</w:t>
      </w:r>
      <w:r w:rsidR="00573E81">
        <w:rPr>
          <w:color w:val="212529"/>
          <w:sz w:val="28"/>
          <w:szCs w:val="28"/>
        </w:rPr>
        <w:t>ктов решений Колпнянского</w:t>
      </w:r>
      <w:r w:rsidRPr="00F74100">
        <w:rPr>
          <w:color w:val="212529"/>
          <w:sz w:val="28"/>
          <w:szCs w:val="28"/>
        </w:rPr>
        <w:t xml:space="preserve"> </w:t>
      </w:r>
      <w:r w:rsidR="000534B3">
        <w:rPr>
          <w:color w:val="212529"/>
          <w:sz w:val="28"/>
          <w:szCs w:val="28"/>
        </w:rPr>
        <w:t xml:space="preserve">районного </w:t>
      </w:r>
      <w:r w:rsidRPr="00F74100">
        <w:rPr>
          <w:color w:val="212529"/>
          <w:sz w:val="28"/>
          <w:szCs w:val="28"/>
        </w:rPr>
        <w:t xml:space="preserve">Совета народных депутатов о внесении изменений в решение </w:t>
      </w:r>
      <w:r w:rsidR="00573E81">
        <w:rPr>
          <w:color w:val="212529"/>
          <w:sz w:val="28"/>
          <w:szCs w:val="28"/>
        </w:rPr>
        <w:t xml:space="preserve">«О </w:t>
      </w:r>
      <w:r w:rsidRPr="00F74100">
        <w:rPr>
          <w:color w:val="212529"/>
          <w:sz w:val="28"/>
          <w:szCs w:val="28"/>
        </w:rPr>
        <w:t xml:space="preserve"> бюджете </w:t>
      </w:r>
      <w:r w:rsidR="00573E81">
        <w:rPr>
          <w:color w:val="212529"/>
          <w:sz w:val="28"/>
          <w:szCs w:val="28"/>
        </w:rPr>
        <w:t>Колпнянского района на 2022 год и плановый период 2023 и 2024</w:t>
      </w:r>
      <w:r w:rsidR="000534B3">
        <w:rPr>
          <w:color w:val="212529"/>
          <w:sz w:val="28"/>
          <w:szCs w:val="28"/>
        </w:rPr>
        <w:t xml:space="preserve"> годов».</w:t>
      </w:r>
    </w:p>
    <w:p w:rsidR="005448DC" w:rsidRPr="00F74100" w:rsidRDefault="005448DC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В рамках текущего контроля:</w:t>
      </w:r>
    </w:p>
    <w:p w:rsidR="00F74100" w:rsidRP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t>- анализ оперативной информации</w:t>
      </w:r>
      <w:r w:rsidR="00573E81">
        <w:rPr>
          <w:color w:val="212529"/>
          <w:sz w:val="28"/>
          <w:szCs w:val="28"/>
        </w:rPr>
        <w:t xml:space="preserve"> об исполнении бюджета Колпнянского</w:t>
      </w:r>
      <w:r w:rsidRPr="00F74100">
        <w:rPr>
          <w:color w:val="212529"/>
          <w:sz w:val="28"/>
          <w:szCs w:val="28"/>
        </w:rPr>
        <w:t xml:space="preserve"> района </w:t>
      </w:r>
      <w:r w:rsidR="00573E81">
        <w:rPr>
          <w:color w:val="212529"/>
          <w:sz w:val="28"/>
          <w:szCs w:val="28"/>
        </w:rPr>
        <w:t>в 2022</w:t>
      </w:r>
      <w:r w:rsidRPr="00F74100">
        <w:rPr>
          <w:color w:val="212529"/>
          <w:sz w:val="28"/>
          <w:szCs w:val="28"/>
        </w:rPr>
        <w:t xml:space="preserve"> году;</w:t>
      </w:r>
    </w:p>
    <w:p w:rsid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t>- анализ проектов поста</w:t>
      </w:r>
      <w:r w:rsidR="00573E81">
        <w:rPr>
          <w:color w:val="212529"/>
          <w:sz w:val="28"/>
          <w:szCs w:val="28"/>
        </w:rPr>
        <w:t>новлений администрации Колпнянского</w:t>
      </w:r>
      <w:r w:rsidRPr="00F74100">
        <w:rPr>
          <w:color w:val="212529"/>
          <w:sz w:val="28"/>
          <w:szCs w:val="28"/>
        </w:rPr>
        <w:t xml:space="preserve"> района об утверждении и внесении изменений в муниципа</w:t>
      </w:r>
      <w:r w:rsidR="00573E81">
        <w:rPr>
          <w:color w:val="212529"/>
          <w:sz w:val="28"/>
          <w:szCs w:val="28"/>
        </w:rPr>
        <w:t>льные программы</w:t>
      </w:r>
      <w:r w:rsidR="000534B3">
        <w:rPr>
          <w:color w:val="212529"/>
          <w:sz w:val="28"/>
          <w:szCs w:val="28"/>
        </w:rPr>
        <w:t>.</w:t>
      </w:r>
    </w:p>
    <w:p w:rsidR="005448DC" w:rsidRPr="00F74100" w:rsidRDefault="005448DC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В рамках предварительного контроля:</w:t>
      </w:r>
    </w:p>
    <w:p w:rsid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t xml:space="preserve">- </w:t>
      </w:r>
      <w:r w:rsidR="00573E81">
        <w:rPr>
          <w:color w:val="212529"/>
          <w:sz w:val="28"/>
          <w:szCs w:val="28"/>
        </w:rPr>
        <w:t>анализ проекта решения Колпнянского</w:t>
      </w:r>
      <w:r w:rsidRPr="00F74100">
        <w:rPr>
          <w:color w:val="212529"/>
          <w:sz w:val="28"/>
          <w:szCs w:val="28"/>
        </w:rPr>
        <w:t xml:space="preserve"> районного Совета народных депут</w:t>
      </w:r>
      <w:r w:rsidR="00573E81">
        <w:rPr>
          <w:color w:val="212529"/>
          <w:sz w:val="28"/>
          <w:szCs w:val="28"/>
        </w:rPr>
        <w:t>атов «О районном бюджете на 2023</w:t>
      </w:r>
      <w:r w:rsidRPr="00F74100">
        <w:rPr>
          <w:color w:val="212529"/>
          <w:sz w:val="28"/>
          <w:szCs w:val="28"/>
        </w:rPr>
        <w:t xml:space="preserve"> г</w:t>
      </w:r>
      <w:r w:rsidR="00573E81">
        <w:rPr>
          <w:color w:val="212529"/>
          <w:sz w:val="28"/>
          <w:szCs w:val="28"/>
        </w:rPr>
        <w:t>од и плановый период 2024 и 2025</w:t>
      </w:r>
      <w:r w:rsidRPr="00F74100">
        <w:rPr>
          <w:color w:val="212529"/>
          <w:sz w:val="28"/>
          <w:szCs w:val="28"/>
        </w:rPr>
        <w:t xml:space="preserve"> годов»</w:t>
      </w:r>
      <w:r w:rsidR="00B52E0B">
        <w:rPr>
          <w:color w:val="212529"/>
          <w:sz w:val="28"/>
          <w:szCs w:val="28"/>
        </w:rPr>
        <w:t>.</w:t>
      </w:r>
    </w:p>
    <w:p w:rsidR="00B52E0B" w:rsidRPr="00F74100" w:rsidRDefault="00700851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="00B52E0B">
        <w:rPr>
          <w:color w:val="212529"/>
          <w:sz w:val="28"/>
          <w:szCs w:val="28"/>
        </w:rPr>
        <w:t>В результате проведенных мероприятий сделаны следующие выводы:</w:t>
      </w:r>
    </w:p>
    <w:p w:rsidR="00B52E0B" w:rsidRDefault="00B52E0B" w:rsidP="00700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</w:t>
      </w:r>
      <w:r w:rsidRPr="0068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Колпнянского района</w:t>
      </w:r>
      <w:r w:rsidRPr="0068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</w:t>
      </w:r>
      <w:r w:rsidRPr="0068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264.4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РФ</w:t>
      </w:r>
      <w:r w:rsidRPr="00A72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Положением о бюджетном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процессе в Колпнянском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</w:t>
      </w:r>
      <w:r w:rsidRPr="00A72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A72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Положением о Контрольно-счётно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палате Колпнянского района, </w:t>
      </w:r>
      <w:r w:rsidRPr="00A72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проведена внешняя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оверка годового отчета об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</w:t>
      </w:r>
      <w:r w:rsidRPr="00A72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Колпнянского района за 2021</w:t>
      </w:r>
      <w:r w:rsidRPr="00A72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</w:t>
      </w:r>
      <w:r w:rsidRPr="0068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 которой подготовлено Заключение Контрольно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-счетной палаты</w:t>
      </w:r>
      <w:r w:rsidRPr="0068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в частности отмечено следующее.</w:t>
      </w:r>
    </w:p>
    <w:p w:rsidR="00B52E0B" w:rsidRDefault="00B52E0B" w:rsidP="0070085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72976">
        <w:rPr>
          <w:sz w:val="28"/>
          <w:szCs w:val="28"/>
        </w:rPr>
        <w:t>Указанный Отчет своев</w:t>
      </w:r>
      <w:r>
        <w:rPr>
          <w:sz w:val="28"/>
          <w:szCs w:val="28"/>
        </w:rPr>
        <w:t>ременно представлен в Колпнянский районный Совет народных депутатов и Контрольно-счетную палату</w:t>
      </w:r>
      <w:r w:rsidRPr="00A72976">
        <w:rPr>
          <w:sz w:val="28"/>
          <w:szCs w:val="28"/>
        </w:rPr>
        <w:t xml:space="preserve"> с прилож</w:t>
      </w:r>
      <w:r>
        <w:rPr>
          <w:sz w:val="28"/>
          <w:szCs w:val="28"/>
        </w:rPr>
        <w:t>ением к нему установленных  Бюджетным кодексом и Положением</w:t>
      </w:r>
      <w:r w:rsidRPr="00A72976">
        <w:rPr>
          <w:sz w:val="28"/>
          <w:szCs w:val="28"/>
        </w:rPr>
        <w:t xml:space="preserve"> «О бюджетном процессе», документов.</w:t>
      </w:r>
    </w:p>
    <w:p w:rsidR="00B52E0B" w:rsidRDefault="00B52E0B" w:rsidP="0070085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54DDA">
        <w:rPr>
          <w:sz w:val="28"/>
          <w:szCs w:val="28"/>
        </w:rPr>
        <w:t>В связи с дополнительным выделе</w:t>
      </w:r>
      <w:r>
        <w:rPr>
          <w:sz w:val="28"/>
          <w:szCs w:val="28"/>
        </w:rPr>
        <w:t>нием средств из федерального и областного бюджетов</w:t>
      </w:r>
      <w:r w:rsidRPr="00454DDA">
        <w:rPr>
          <w:sz w:val="28"/>
          <w:szCs w:val="28"/>
        </w:rPr>
        <w:t xml:space="preserve"> и корректировкой расходов между разделами функциональной классификации расходов </w:t>
      </w:r>
      <w:r>
        <w:rPr>
          <w:sz w:val="28"/>
          <w:szCs w:val="28"/>
        </w:rPr>
        <w:t>в бюджет Колпнянского района за 2021</w:t>
      </w:r>
      <w:r w:rsidRPr="00454DDA">
        <w:rPr>
          <w:sz w:val="28"/>
          <w:szCs w:val="28"/>
        </w:rPr>
        <w:t xml:space="preserve"> год, в проце</w:t>
      </w:r>
      <w:r w:rsidR="004670B6">
        <w:rPr>
          <w:sz w:val="28"/>
          <w:szCs w:val="28"/>
        </w:rPr>
        <w:t>ссе его исполнения, внесено 5 изменений</w:t>
      </w:r>
      <w:r w:rsidRPr="00454DDA">
        <w:rPr>
          <w:sz w:val="28"/>
          <w:szCs w:val="28"/>
        </w:rPr>
        <w:t>, уточняющие его основ</w:t>
      </w:r>
      <w:r>
        <w:rPr>
          <w:sz w:val="28"/>
          <w:szCs w:val="28"/>
        </w:rPr>
        <w:t>ные характеристики.</w:t>
      </w:r>
    </w:p>
    <w:p w:rsidR="00B52E0B" w:rsidRPr="004670B6" w:rsidRDefault="00B52E0B" w:rsidP="00700851">
      <w:pPr>
        <w:pStyle w:val="a6"/>
        <w:ind w:left="0" w:firstLine="567"/>
        <w:jc w:val="both"/>
        <w:rPr>
          <w:sz w:val="28"/>
          <w:szCs w:val="28"/>
        </w:rPr>
      </w:pPr>
      <w:r w:rsidRPr="004670B6">
        <w:rPr>
          <w:sz w:val="28"/>
          <w:szCs w:val="28"/>
        </w:rPr>
        <w:t>В результате Решением Колпнянского районного Совета народных депутатов  с учетом всех внесенных в течение года изменений утверждены следующие основные характеристики бюджета Колпнянского района на 2021 год:</w:t>
      </w:r>
    </w:p>
    <w:p w:rsidR="004670B6" w:rsidRPr="004670B6" w:rsidRDefault="004670B6" w:rsidP="00700851">
      <w:pPr>
        <w:pStyle w:val="a7"/>
        <w:ind w:right="853"/>
        <w:jc w:val="both"/>
        <w:rPr>
          <w:sz w:val="28"/>
          <w:szCs w:val="28"/>
        </w:rPr>
      </w:pPr>
      <w:r w:rsidRPr="004670B6">
        <w:rPr>
          <w:sz w:val="28"/>
          <w:szCs w:val="28"/>
        </w:rPr>
        <w:t>Первоначально  районный бюджет  утвержден Решением о бюджете на 2021 год  по доходам  в сумме 222 360,9 тыс.  рублей, по  расходам – 225 871 тыс. рублей, с дефицитом  в сумме  3 510,1 тыс. рублей.</w:t>
      </w:r>
    </w:p>
    <w:p w:rsidR="004670B6" w:rsidRPr="004670B6" w:rsidRDefault="004670B6" w:rsidP="00700851">
      <w:pPr>
        <w:pStyle w:val="a7"/>
        <w:ind w:firstLine="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>При этом объем доходов запланирован, исходя из:</w:t>
      </w:r>
    </w:p>
    <w:p w:rsidR="004670B6" w:rsidRPr="004670B6" w:rsidRDefault="004670B6" w:rsidP="00700851">
      <w:pPr>
        <w:pStyle w:val="a6"/>
        <w:widowControl w:val="0"/>
        <w:numPr>
          <w:ilvl w:val="0"/>
          <w:numId w:val="5"/>
        </w:numPr>
        <w:tabs>
          <w:tab w:val="left" w:pos="1232"/>
          <w:tab w:val="left" w:pos="1233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>налоговых и неналоговых доходов в сумме 74 597</w:t>
      </w:r>
      <w:r w:rsidRPr="004670B6">
        <w:rPr>
          <w:spacing w:val="-15"/>
          <w:sz w:val="28"/>
          <w:szCs w:val="28"/>
        </w:rPr>
        <w:t xml:space="preserve">  </w:t>
      </w:r>
      <w:r w:rsidRPr="004670B6">
        <w:rPr>
          <w:sz w:val="28"/>
          <w:szCs w:val="28"/>
        </w:rPr>
        <w:t>тыс. рублей;</w:t>
      </w:r>
    </w:p>
    <w:p w:rsidR="004670B6" w:rsidRPr="004670B6" w:rsidRDefault="004670B6" w:rsidP="00700851">
      <w:pPr>
        <w:pStyle w:val="a6"/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ind w:left="0" w:right="850" w:firstLine="708"/>
        <w:contextualSpacing w:val="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>безвозмездных поступлений из других бюджетов бюджетной системы Российской Федерации в сумме 147 763,9</w:t>
      </w:r>
      <w:r w:rsidRPr="004670B6">
        <w:rPr>
          <w:spacing w:val="-13"/>
          <w:sz w:val="28"/>
          <w:szCs w:val="28"/>
        </w:rPr>
        <w:t xml:space="preserve"> </w:t>
      </w:r>
      <w:r w:rsidRPr="004670B6">
        <w:rPr>
          <w:sz w:val="28"/>
          <w:szCs w:val="28"/>
        </w:rPr>
        <w:t>тыс. рублей.</w:t>
      </w:r>
    </w:p>
    <w:p w:rsidR="004670B6" w:rsidRPr="004670B6" w:rsidRDefault="004670B6" w:rsidP="00700851">
      <w:pPr>
        <w:pStyle w:val="a7"/>
        <w:ind w:right="847"/>
        <w:jc w:val="both"/>
        <w:rPr>
          <w:sz w:val="28"/>
          <w:szCs w:val="28"/>
        </w:rPr>
      </w:pPr>
      <w:r w:rsidRPr="004670B6">
        <w:rPr>
          <w:sz w:val="28"/>
          <w:szCs w:val="28"/>
        </w:rPr>
        <w:t>Уточнение плановых показателей бюджета осуществляется с целью оптимального перераспределения бюджетных средств для сохранения социальной и финансовой стабильности муниципального образования, создания условий для его устойчивого социально-экономического развития.</w:t>
      </w:r>
    </w:p>
    <w:p w:rsidR="004670B6" w:rsidRPr="004670B6" w:rsidRDefault="004670B6" w:rsidP="00700851">
      <w:pPr>
        <w:pStyle w:val="a7"/>
        <w:ind w:firstLine="55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>В результате изменений, внесенных в Решение о бюджете на 2021 год:</w:t>
      </w:r>
    </w:p>
    <w:p w:rsidR="004670B6" w:rsidRPr="004670B6" w:rsidRDefault="004670B6" w:rsidP="00700851">
      <w:pPr>
        <w:pStyle w:val="a6"/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ind w:left="0" w:right="847" w:firstLine="550"/>
        <w:contextualSpacing w:val="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 xml:space="preserve">объем доходов увеличился на 162 751 тыс. руб. или на 73,2 % и составил 385 111,9 </w:t>
      </w:r>
      <w:r w:rsidRPr="004670B6">
        <w:rPr>
          <w:spacing w:val="-3"/>
          <w:sz w:val="28"/>
          <w:szCs w:val="28"/>
        </w:rPr>
        <w:t xml:space="preserve"> </w:t>
      </w:r>
      <w:r w:rsidRPr="004670B6">
        <w:rPr>
          <w:sz w:val="28"/>
          <w:szCs w:val="28"/>
        </w:rPr>
        <w:t>тыс. рублей;</w:t>
      </w:r>
    </w:p>
    <w:p w:rsidR="004670B6" w:rsidRPr="004670B6" w:rsidRDefault="004670B6" w:rsidP="00700851">
      <w:pPr>
        <w:pStyle w:val="a6"/>
        <w:widowControl w:val="0"/>
        <w:numPr>
          <w:ilvl w:val="0"/>
          <w:numId w:val="5"/>
        </w:numPr>
        <w:tabs>
          <w:tab w:val="left" w:pos="1166"/>
          <w:tab w:val="left" w:pos="5170"/>
        </w:tabs>
        <w:autoSpaceDE w:val="0"/>
        <w:autoSpaceDN w:val="0"/>
        <w:ind w:left="0" w:right="490" w:firstLine="550"/>
        <w:contextualSpacing w:val="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>объем  расходов</w:t>
      </w:r>
      <w:r w:rsidRPr="004670B6">
        <w:rPr>
          <w:spacing w:val="59"/>
          <w:sz w:val="28"/>
          <w:szCs w:val="28"/>
        </w:rPr>
        <w:t xml:space="preserve"> </w:t>
      </w:r>
      <w:r w:rsidRPr="004670B6">
        <w:rPr>
          <w:sz w:val="28"/>
          <w:szCs w:val="28"/>
        </w:rPr>
        <w:t>увеличился</w:t>
      </w:r>
      <w:r w:rsidRPr="004670B6">
        <w:rPr>
          <w:spacing w:val="65"/>
          <w:sz w:val="28"/>
          <w:szCs w:val="28"/>
        </w:rPr>
        <w:t xml:space="preserve"> </w:t>
      </w:r>
      <w:r w:rsidRPr="004670B6">
        <w:rPr>
          <w:sz w:val="28"/>
          <w:szCs w:val="28"/>
        </w:rPr>
        <w:t>на 155 073,1  тыс. рублей  или на 68,7%</w:t>
      </w:r>
      <w:r w:rsidRPr="004670B6">
        <w:rPr>
          <w:spacing w:val="58"/>
          <w:sz w:val="28"/>
          <w:szCs w:val="28"/>
        </w:rPr>
        <w:t xml:space="preserve"> </w:t>
      </w:r>
      <w:r w:rsidRPr="004670B6">
        <w:rPr>
          <w:sz w:val="28"/>
          <w:szCs w:val="28"/>
        </w:rPr>
        <w:t>и  составил  380 944,1 тыс. рублей;</w:t>
      </w:r>
    </w:p>
    <w:p w:rsidR="004670B6" w:rsidRPr="00700851" w:rsidRDefault="004670B6" w:rsidP="00700851">
      <w:pPr>
        <w:pStyle w:val="a6"/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ind w:left="0" w:firstLine="550"/>
        <w:contextualSpacing w:val="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 xml:space="preserve">превышение доходов над расходами составило 4 167,8  </w:t>
      </w:r>
      <w:r w:rsidRPr="004670B6">
        <w:rPr>
          <w:spacing w:val="-14"/>
          <w:sz w:val="28"/>
          <w:szCs w:val="28"/>
        </w:rPr>
        <w:t xml:space="preserve"> </w:t>
      </w:r>
      <w:r w:rsidRPr="004670B6">
        <w:rPr>
          <w:sz w:val="28"/>
          <w:szCs w:val="28"/>
        </w:rPr>
        <w:t>тыс. рублей.</w:t>
      </w:r>
    </w:p>
    <w:p w:rsidR="00B52E0B" w:rsidRPr="00700851" w:rsidRDefault="00700851" w:rsidP="0070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B52E0B" w:rsidRPr="003517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B52E0B" w:rsidRPr="0070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Экспертиза проекта Решения «О бюджете Колпнянского района» на 20</w:t>
      </w:r>
      <w:r w:rsidR="004670B6" w:rsidRPr="0070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B52E0B" w:rsidRPr="0070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4670B6" w:rsidRPr="0070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52E0B" w:rsidRPr="0070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4670B6" w:rsidRPr="0070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52E0B" w:rsidRPr="0070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B52E0B" w:rsidRPr="0070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E0B" w:rsidRPr="00702563" w:rsidRDefault="00B52E0B" w:rsidP="0070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4"/>
          <w:szCs w:val="28"/>
          <w:highlight w:val="yellow"/>
          <w:lang w:eastAsia="ru-RU"/>
        </w:rPr>
      </w:pPr>
    </w:p>
    <w:p w:rsidR="00B52E0B" w:rsidRPr="00364CB8" w:rsidRDefault="00B52E0B" w:rsidP="00700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проверки и анализа проекта бюджета на 20</w:t>
      </w:r>
      <w:r w:rsidR="004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стали:</w:t>
      </w:r>
    </w:p>
    <w:p w:rsidR="00B52E0B" w:rsidRPr="00364CB8" w:rsidRDefault="00B52E0B" w:rsidP="00700851">
      <w:pPr>
        <w:widowControl w:val="0"/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доходных статей проекта бюджета на 20</w:t>
      </w:r>
      <w:r w:rsidR="004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наличие и соблюдение нормативных правовых актов, методических указаний, используемых при расчетах по статьям классификации доходов бюджета;</w:t>
      </w:r>
    </w:p>
    <w:p w:rsidR="00B52E0B" w:rsidRPr="00364CB8" w:rsidRDefault="00B52E0B" w:rsidP="00700851">
      <w:pPr>
        <w:widowControl w:val="0"/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расходных статей проекта бюджета на 20</w:t>
      </w:r>
      <w:r w:rsidR="004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разрезе разделов и подразделов функциональной классификации расходов и главных распорядителей бюджетных средств, наличие и соблюдение нормативных </w:t>
      </w: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правовых актов, используемых при расчетах расходов бюджета;</w:t>
      </w:r>
    </w:p>
    <w:p w:rsidR="00B52E0B" w:rsidRDefault="00B52E0B" w:rsidP="00700851">
      <w:pPr>
        <w:widowControl w:val="0"/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лансированности бюджета.</w:t>
      </w:r>
    </w:p>
    <w:p w:rsidR="00B52E0B" w:rsidRDefault="00B52E0B" w:rsidP="00700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отмечены следующие выводы и предложения:</w:t>
      </w:r>
    </w:p>
    <w:p w:rsidR="00B52E0B" w:rsidRPr="00A76D1B" w:rsidRDefault="00B52E0B" w:rsidP="00700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Бюджет Колпнянского района</w:t>
      </w:r>
      <w:r w:rsidRPr="00A7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 три года-</w:t>
      </w:r>
      <w:r w:rsidR="004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2023 год и плановый период 2024 и 2025</w:t>
      </w:r>
      <w:r w:rsidRPr="00A7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что соответствует требованиям ч.4 ст. 169 Бюджетного кодекса РФ </w:t>
      </w:r>
      <w:proofErr w:type="gramStart"/>
      <w:r w:rsidRPr="00A7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</w:t>
      </w:r>
      <w:proofErr w:type="gramEnd"/>
      <w:r w:rsidRPr="00A7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бюджетном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в Колпнянском районе.</w:t>
      </w:r>
    </w:p>
    <w:p w:rsidR="00B52E0B" w:rsidRDefault="00B52E0B" w:rsidP="00700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</w:t>
      </w:r>
      <w:r w:rsidRPr="00A7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решения о бюджете на очередной финансовый год на 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Колпнянский районный Совет народных депутатов и в Контрольно-счетную палату</w:t>
      </w:r>
      <w:r w:rsidRPr="00A7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 в установленный срок.</w:t>
      </w:r>
    </w:p>
    <w:p w:rsidR="004670B6" w:rsidRPr="00A66401" w:rsidRDefault="004670B6" w:rsidP="00700851">
      <w:pPr>
        <w:pStyle w:val="a7"/>
        <w:rPr>
          <w:sz w:val="28"/>
          <w:szCs w:val="28"/>
        </w:rPr>
      </w:pPr>
      <w:r w:rsidRPr="00A66401">
        <w:rPr>
          <w:sz w:val="28"/>
          <w:szCs w:val="28"/>
        </w:rPr>
        <w:t xml:space="preserve">Согласно проекту Решения о бюджете Колпнянского района параметры бюджета по доходам спрогнозированы на 2023 год в сумме </w:t>
      </w:r>
      <w:r>
        <w:rPr>
          <w:sz w:val="28"/>
          <w:szCs w:val="28"/>
        </w:rPr>
        <w:t>354 785,2</w:t>
      </w:r>
      <w:r w:rsidRPr="00A66401">
        <w:rPr>
          <w:sz w:val="28"/>
          <w:szCs w:val="28"/>
        </w:rPr>
        <w:t xml:space="preserve"> тыс. рублей, на 2024 год  в сумме </w:t>
      </w:r>
      <w:r>
        <w:rPr>
          <w:sz w:val="28"/>
          <w:szCs w:val="28"/>
        </w:rPr>
        <w:t>315 183,4</w:t>
      </w:r>
      <w:r w:rsidRPr="00A66401">
        <w:rPr>
          <w:sz w:val="28"/>
          <w:szCs w:val="28"/>
        </w:rPr>
        <w:t xml:space="preserve"> тыс. рублей, на 2025 год в сумме </w:t>
      </w:r>
      <w:r>
        <w:rPr>
          <w:sz w:val="28"/>
          <w:szCs w:val="28"/>
        </w:rPr>
        <w:t>310 101,3</w:t>
      </w:r>
      <w:r w:rsidRPr="00A66401">
        <w:rPr>
          <w:sz w:val="28"/>
          <w:szCs w:val="28"/>
        </w:rPr>
        <w:t xml:space="preserve"> тыс. рублей.</w:t>
      </w:r>
    </w:p>
    <w:p w:rsidR="004670B6" w:rsidRPr="00A66401" w:rsidRDefault="004670B6" w:rsidP="00700851">
      <w:pPr>
        <w:pStyle w:val="a7"/>
        <w:rPr>
          <w:sz w:val="28"/>
          <w:szCs w:val="28"/>
        </w:rPr>
      </w:pPr>
      <w:r w:rsidRPr="00A66401">
        <w:rPr>
          <w:sz w:val="28"/>
          <w:szCs w:val="28"/>
        </w:rPr>
        <w:t xml:space="preserve">Расходы бюджета на 2023 год запланированы в объёме </w:t>
      </w:r>
      <w:r>
        <w:rPr>
          <w:sz w:val="28"/>
          <w:szCs w:val="28"/>
        </w:rPr>
        <w:t>354 785,2</w:t>
      </w:r>
      <w:r w:rsidRPr="00A66401">
        <w:rPr>
          <w:sz w:val="28"/>
          <w:szCs w:val="28"/>
        </w:rPr>
        <w:t xml:space="preserve"> тыс. рублей, на 2024 год в сумме </w:t>
      </w:r>
      <w:r>
        <w:rPr>
          <w:sz w:val="28"/>
          <w:szCs w:val="28"/>
        </w:rPr>
        <w:t>315 183,4</w:t>
      </w:r>
      <w:r w:rsidRPr="00A66401">
        <w:rPr>
          <w:sz w:val="28"/>
          <w:szCs w:val="28"/>
        </w:rPr>
        <w:t xml:space="preserve"> тыс. рублей, на 2025 год  в сумме </w:t>
      </w:r>
      <w:r>
        <w:rPr>
          <w:sz w:val="28"/>
          <w:szCs w:val="28"/>
        </w:rPr>
        <w:t>310 101,3</w:t>
      </w:r>
      <w:r w:rsidRPr="00A66401">
        <w:rPr>
          <w:sz w:val="28"/>
          <w:szCs w:val="28"/>
        </w:rPr>
        <w:t xml:space="preserve"> тыс. рублей. </w:t>
      </w:r>
    </w:p>
    <w:p w:rsidR="004670B6" w:rsidRPr="004670B6" w:rsidRDefault="004670B6" w:rsidP="00700851">
      <w:pPr>
        <w:pStyle w:val="a7"/>
        <w:ind w:firstLine="709"/>
        <w:rPr>
          <w:sz w:val="28"/>
          <w:szCs w:val="28"/>
        </w:rPr>
      </w:pPr>
      <w:r w:rsidRPr="00A66401">
        <w:rPr>
          <w:sz w:val="28"/>
          <w:szCs w:val="28"/>
        </w:rPr>
        <w:t>Бюджет прогнозируется бездефицитным.</w:t>
      </w:r>
    </w:p>
    <w:p w:rsidR="00F74100" w:rsidRDefault="004670B6" w:rsidP="00700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E0B" w:rsidRPr="00A7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и представленные одновременно с ним материалы, в рамках предмета рассмотрения проекта Решения, в целом соответствуют требованиям Бюджетного кодекса Российской Федерации и Полож</w:t>
      </w:r>
      <w:r w:rsidR="00B5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"О бюджетном процессе в Колпнянском районе.</w:t>
      </w:r>
    </w:p>
    <w:p w:rsidR="000534B3" w:rsidRPr="00925D75" w:rsidRDefault="000534B3" w:rsidP="00053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основных проблемных вопросов и усиле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роли бюджета Колпнянского района </w:t>
      </w:r>
      <w:r w:rsidRPr="0092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стимулировании роста экономики, Контрольно-счетная палата  считает необходимым:</w:t>
      </w:r>
    </w:p>
    <w:p w:rsidR="000534B3" w:rsidRDefault="000534B3" w:rsidP="000534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925D75">
        <w:rPr>
          <w:sz w:val="28"/>
          <w:szCs w:val="28"/>
        </w:rPr>
        <w:t xml:space="preserve">провести работу по оптимизации муниципальных бюджетных расходов. </w:t>
      </w:r>
      <w:r>
        <w:rPr>
          <w:sz w:val="28"/>
          <w:szCs w:val="28"/>
        </w:rPr>
        <w:t xml:space="preserve">      </w:t>
      </w:r>
      <w:r w:rsidRPr="00925D75">
        <w:rPr>
          <w:sz w:val="28"/>
          <w:szCs w:val="28"/>
        </w:rPr>
        <w:t xml:space="preserve">Определить приоритеты и цели использования бюджетных средств, на основе анализа и инвентаризации муниципальных бюджетных расходов. </w:t>
      </w:r>
    </w:p>
    <w:p w:rsidR="000534B3" w:rsidRPr="00925D75" w:rsidRDefault="000534B3" w:rsidP="000534B3">
      <w:pPr>
        <w:pStyle w:val="a6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D75">
        <w:rPr>
          <w:sz w:val="28"/>
          <w:szCs w:val="28"/>
        </w:rPr>
        <w:t xml:space="preserve">При принятии решений о планировании и финансировании должен быть определен ожидаемый эффект и установлены индикаторы, позволяющие отслеживать их достижение; </w:t>
      </w:r>
    </w:p>
    <w:p w:rsidR="000534B3" w:rsidRPr="00925D75" w:rsidRDefault="000534B3" w:rsidP="000534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925D75">
        <w:rPr>
          <w:sz w:val="28"/>
          <w:szCs w:val="28"/>
        </w:rPr>
        <w:t>совершенствовать механизмы межбюджетных отношений с необходимостью установления обязательств по повышению качества управления муниципальными финансами и повышения результативности их деятельности;</w:t>
      </w:r>
    </w:p>
    <w:p w:rsidR="004670B6" w:rsidRPr="000534B3" w:rsidRDefault="000534B3" w:rsidP="000534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975CA">
        <w:rPr>
          <w:sz w:val="28"/>
          <w:szCs w:val="28"/>
        </w:rPr>
        <w:t>принять меры, направленные на повышение эф</w:t>
      </w:r>
      <w:r w:rsidRPr="004975CA">
        <w:rPr>
          <w:sz w:val="28"/>
          <w:szCs w:val="28"/>
        </w:rPr>
        <w:softHyphen/>
        <w:t>фективности управления и распоряжения муниципальной собственно</w:t>
      </w:r>
      <w:r w:rsidRPr="004975CA">
        <w:rPr>
          <w:sz w:val="28"/>
          <w:szCs w:val="28"/>
        </w:rPr>
        <w:softHyphen/>
        <w:t xml:space="preserve">стью </w:t>
      </w:r>
      <w:r>
        <w:rPr>
          <w:sz w:val="28"/>
          <w:szCs w:val="28"/>
        </w:rPr>
        <w:t>Колпнянского района.</w:t>
      </w:r>
    </w:p>
    <w:p w:rsidR="004670B6" w:rsidRPr="00702563" w:rsidRDefault="004670B6" w:rsidP="007008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670B6" w:rsidRDefault="00700851" w:rsidP="00700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6102256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670B6" w:rsidRPr="0092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деятельности Контрольно-счетной палаты </w:t>
      </w:r>
      <w:r w:rsidR="0046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Колпнянского района</w:t>
      </w:r>
      <w:r w:rsidR="004670B6" w:rsidRPr="0092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46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4670B6" w:rsidRPr="0092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4670B6" w:rsidRPr="00F74100" w:rsidRDefault="004670B6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</w:t>
      </w:r>
      <w:r w:rsidR="00700851">
        <w:rPr>
          <w:color w:val="212529"/>
          <w:sz w:val="28"/>
          <w:szCs w:val="28"/>
        </w:rPr>
        <w:t xml:space="preserve">  </w:t>
      </w:r>
      <w:r>
        <w:rPr>
          <w:color w:val="212529"/>
          <w:sz w:val="28"/>
          <w:szCs w:val="28"/>
        </w:rPr>
        <w:t>В 2023</w:t>
      </w:r>
      <w:r w:rsidRPr="00F74100">
        <w:rPr>
          <w:color w:val="212529"/>
          <w:sz w:val="28"/>
          <w:szCs w:val="28"/>
        </w:rPr>
        <w:t xml:space="preserve"> году КСП, как и прежде, ставит целью выполнение задач, определенных Бюджетным Кодексом Российской Федерации, Федеральным законом от 07.02.2011г. №6-ФЗ, Положением о Кон</w:t>
      </w:r>
      <w:r w:rsidR="00700851">
        <w:rPr>
          <w:color w:val="212529"/>
          <w:sz w:val="28"/>
          <w:szCs w:val="28"/>
        </w:rPr>
        <w:t>трольно-счетной палате Колпнянского</w:t>
      </w:r>
      <w:r w:rsidRPr="00F74100">
        <w:rPr>
          <w:color w:val="212529"/>
          <w:sz w:val="28"/>
          <w:szCs w:val="28"/>
        </w:rPr>
        <w:t xml:space="preserve"> района Орловской области и иными нормативными правовыми актами.</w:t>
      </w:r>
    </w:p>
    <w:p w:rsidR="004670B6" w:rsidRPr="00F74100" w:rsidRDefault="00700851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     </w:t>
      </w:r>
      <w:r w:rsidR="004670B6" w:rsidRPr="00F74100">
        <w:rPr>
          <w:color w:val="212529"/>
          <w:sz w:val="28"/>
          <w:szCs w:val="28"/>
        </w:rPr>
        <w:t xml:space="preserve">Приоритетным направлением деятельности Контрольно-счетной </w:t>
      </w:r>
      <w:r w:rsidR="004670B6">
        <w:rPr>
          <w:color w:val="212529"/>
          <w:sz w:val="28"/>
          <w:szCs w:val="28"/>
        </w:rPr>
        <w:t>палаты в 2023</w:t>
      </w:r>
      <w:r w:rsidR="004670B6" w:rsidRPr="00F74100">
        <w:rPr>
          <w:color w:val="212529"/>
          <w:sz w:val="28"/>
          <w:szCs w:val="28"/>
        </w:rPr>
        <w:t xml:space="preserve"> году будет проведение работы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собственностью, совершенствование методологического, правового обеспечения КСП, а также контроль за реализацией результатов мероприятий, проведенных КСП, п</w:t>
      </w:r>
      <w:r w:rsidR="000534B3">
        <w:rPr>
          <w:color w:val="212529"/>
          <w:sz w:val="28"/>
          <w:szCs w:val="28"/>
        </w:rPr>
        <w:t xml:space="preserve">ринятием объектами </w:t>
      </w:r>
      <w:proofErr w:type="gramStart"/>
      <w:r w:rsidR="000534B3">
        <w:rPr>
          <w:color w:val="212529"/>
          <w:sz w:val="28"/>
          <w:szCs w:val="28"/>
        </w:rPr>
        <w:t xml:space="preserve">контроля </w:t>
      </w:r>
      <w:r w:rsidR="004670B6" w:rsidRPr="00F74100">
        <w:rPr>
          <w:color w:val="212529"/>
          <w:sz w:val="28"/>
          <w:szCs w:val="28"/>
        </w:rPr>
        <w:t xml:space="preserve"> мер</w:t>
      </w:r>
      <w:proofErr w:type="gramEnd"/>
      <w:r w:rsidR="004670B6" w:rsidRPr="00F74100">
        <w:rPr>
          <w:color w:val="212529"/>
          <w:sz w:val="28"/>
          <w:szCs w:val="28"/>
        </w:rPr>
        <w:t xml:space="preserve"> по исполнению представлений.</w:t>
      </w:r>
    </w:p>
    <w:p w:rsidR="004670B6" w:rsidRPr="000534B3" w:rsidRDefault="000534B3" w:rsidP="00053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особое внимание будет уделено процедуре финансово-экономической экспертизы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Колпнянского района</w:t>
      </w:r>
      <w:r w:rsidRPr="00925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влекущих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муниципального бюджета, б</w:t>
      </w:r>
      <w:r w:rsidRPr="00925D7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усилена работа по проведению аудита эффективности использования бюджетных средств, который предполагает не только проверку достижения результатов, но и разработку рекомендаций по устранению системных причин, мешающих их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2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0B6" w:rsidRPr="00702563" w:rsidRDefault="004670B6" w:rsidP="0070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bookmarkEnd w:id="1"/>
    <w:p w:rsidR="004670B6" w:rsidRPr="0068118C" w:rsidRDefault="00700851" w:rsidP="007008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71717"/>
          <w:sz w:val="28"/>
          <w:szCs w:val="28"/>
        </w:rPr>
        <w:t>3</w:t>
      </w:r>
      <w:r w:rsidR="004670B6" w:rsidRPr="0068118C">
        <w:rPr>
          <w:rFonts w:ascii="Times New Roman" w:eastAsia="Calibri" w:hAnsi="Times New Roman" w:cs="Times New Roman"/>
          <w:b/>
          <w:color w:val="171717"/>
          <w:sz w:val="28"/>
          <w:szCs w:val="28"/>
        </w:rPr>
        <w:t>. Реализация плана мероприятий по противодействию коррупции.</w:t>
      </w:r>
    </w:p>
    <w:p w:rsidR="004670B6" w:rsidRPr="0068118C" w:rsidRDefault="004670B6" w:rsidP="00700851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68118C">
        <w:rPr>
          <w:color w:val="171717"/>
          <w:sz w:val="28"/>
          <w:szCs w:val="28"/>
        </w:rPr>
        <w:t xml:space="preserve">     Работа по противодействию коррупции в Контрольно-счетной палате осуществлялась, в основном, по двум направлениям: в рамках соблюдения лицом, замещающим муниципальную должность обязанностей, ограничений и запретов, установленных законодательством РФ о противодействии коррупции и о муниципальной службе, в рамках осуществления полномочий по участию в мероприятиях, направленных на противодействие коррупции</w:t>
      </w:r>
      <w:r w:rsidR="000534B3">
        <w:rPr>
          <w:color w:val="171717"/>
          <w:sz w:val="28"/>
          <w:szCs w:val="28"/>
        </w:rPr>
        <w:t>.</w:t>
      </w:r>
    </w:p>
    <w:p w:rsidR="004670B6" w:rsidRDefault="004670B6" w:rsidP="00700851">
      <w:p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68118C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    В соответствии с законодательством при выявлении фактов незаконного использования бюджетных средств, в которых усматриваются признаки коррупционных правонарушений материалы передаются в правоохранительные органы.</w:t>
      </w:r>
      <w:r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</w:t>
      </w:r>
    </w:p>
    <w:p w:rsidR="004670B6" w:rsidRPr="0068118C" w:rsidRDefault="004670B6" w:rsidP="00700851">
      <w:p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    </w:t>
      </w:r>
      <w:r w:rsidRPr="0068118C">
        <w:rPr>
          <w:rFonts w:ascii="Times New Roman" w:eastAsia="Calibri" w:hAnsi="Times New Roman" w:cs="Times New Roman"/>
          <w:color w:val="171717"/>
          <w:sz w:val="28"/>
          <w:szCs w:val="28"/>
        </w:rPr>
        <w:t>В отчетном периоде фактов не выявлено, материалы не передавались.</w:t>
      </w:r>
    </w:p>
    <w:p w:rsidR="004670B6" w:rsidRDefault="004670B6" w:rsidP="0070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68118C">
        <w:rPr>
          <w:rFonts w:ascii="Times New Roman" w:hAnsi="Times New Roman" w:cs="Times New Roman"/>
          <w:color w:val="171717"/>
          <w:sz w:val="28"/>
          <w:szCs w:val="28"/>
        </w:rPr>
        <w:t>В части соблюдения ограничений, запретов, 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доходам»</w:t>
      </w:r>
      <w:r w:rsidR="000534B3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п</w:t>
      </w:r>
      <w:r w:rsidRPr="0068118C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редседателем Контрольно-счетной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>
        <w:rPr>
          <w:rFonts w:ascii="Times New Roman" w:eastAsia="Calibri" w:hAnsi="Times New Roman" w:cs="Times New Roman"/>
          <w:color w:val="171717"/>
          <w:sz w:val="28"/>
          <w:szCs w:val="28"/>
        </w:rPr>
        <w:t>несовершеннолетних детей.</w:t>
      </w:r>
    </w:p>
    <w:p w:rsidR="004670B6" w:rsidRDefault="004670B6" w:rsidP="0070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</w:p>
    <w:p w:rsidR="000534B3" w:rsidRDefault="000534B3" w:rsidP="0070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</w:p>
    <w:p w:rsidR="000534B3" w:rsidRDefault="000534B3" w:rsidP="0070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</w:p>
    <w:p w:rsidR="000534B3" w:rsidRDefault="000534B3" w:rsidP="0070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</w:p>
    <w:p w:rsidR="000534B3" w:rsidRDefault="000534B3" w:rsidP="0070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</w:p>
    <w:p w:rsidR="000534B3" w:rsidRDefault="00002F80" w:rsidP="0070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</w:t>
      </w:r>
    </w:p>
    <w:p w:rsidR="004670B6" w:rsidRPr="001B36A7" w:rsidRDefault="004670B6" w:rsidP="00053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5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670B6" w:rsidRDefault="000534B3" w:rsidP="00700851">
      <w:pPr>
        <w:spacing w:after="0" w:line="240" w:lineRule="auto"/>
      </w:pPr>
      <w:r>
        <w:t xml:space="preserve"> </w:t>
      </w:r>
    </w:p>
    <w:p w:rsidR="00F74100" w:rsidRP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t>        </w:t>
      </w:r>
    </w:p>
    <w:p w:rsidR="00F74100" w:rsidRPr="00F74100" w:rsidRDefault="00F74100" w:rsidP="0070085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F74100">
        <w:rPr>
          <w:color w:val="212529"/>
          <w:sz w:val="28"/>
          <w:szCs w:val="28"/>
        </w:rPr>
        <w:t> </w:t>
      </w:r>
    </w:p>
    <w:p w:rsidR="00AF34C1" w:rsidRPr="00F74100" w:rsidRDefault="00AF34C1" w:rsidP="0070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34C1" w:rsidRPr="00F74100" w:rsidSect="00700851">
      <w:pgSz w:w="11906" w:h="16838"/>
      <w:pgMar w:top="907" w:right="79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9D7"/>
    <w:multiLevelType w:val="hybridMultilevel"/>
    <w:tmpl w:val="73725706"/>
    <w:lvl w:ilvl="0" w:tplc="782C8B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C248AB"/>
    <w:multiLevelType w:val="hybridMultilevel"/>
    <w:tmpl w:val="76CAB436"/>
    <w:lvl w:ilvl="0" w:tplc="6C100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A176755"/>
    <w:multiLevelType w:val="hybridMultilevel"/>
    <w:tmpl w:val="DDB05ED4"/>
    <w:lvl w:ilvl="0" w:tplc="45765144">
      <w:numFmt w:val="bullet"/>
      <w:lvlText w:val="-"/>
      <w:lvlJc w:val="left"/>
      <w:pPr>
        <w:ind w:left="231" w:hanging="29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21269CA">
      <w:numFmt w:val="bullet"/>
      <w:lvlText w:val="•"/>
      <w:lvlJc w:val="left"/>
      <w:pPr>
        <w:ind w:left="1276" w:hanging="293"/>
      </w:pPr>
      <w:rPr>
        <w:rFonts w:hint="default"/>
        <w:lang w:val="ru-RU" w:eastAsia="ru-RU" w:bidi="ru-RU"/>
      </w:rPr>
    </w:lvl>
    <w:lvl w:ilvl="2" w:tplc="CA20DC6A">
      <w:numFmt w:val="bullet"/>
      <w:lvlText w:val="•"/>
      <w:lvlJc w:val="left"/>
      <w:pPr>
        <w:ind w:left="2313" w:hanging="293"/>
      </w:pPr>
      <w:rPr>
        <w:rFonts w:hint="default"/>
        <w:lang w:val="ru-RU" w:eastAsia="ru-RU" w:bidi="ru-RU"/>
      </w:rPr>
    </w:lvl>
    <w:lvl w:ilvl="3" w:tplc="91FAC3F0">
      <w:numFmt w:val="bullet"/>
      <w:lvlText w:val="•"/>
      <w:lvlJc w:val="left"/>
      <w:pPr>
        <w:ind w:left="3349" w:hanging="293"/>
      </w:pPr>
      <w:rPr>
        <w:rFonts w:hint="default"/>
        <w:lang w:val="ru-RU" w:eastAsia="ru-RU" w:bidi="ru-RU"/>
      </w:rPr>
    </w:lvl>
    <w:lvl w:ilvl="4" w:tplc="7E7E1FA6">
      <w:numFmt w:val="bullet"/>
      <w:lvlText w:val="•"/>
      <w:lvlJc w:val="left"/>
      <w:pPr>
        <w:ind w:left="4386" w:hanging="293"/>
      </w:pPr>
      <w:rPr>
        <w:rFonts w:hint="default"/>
        <w:lang w:val="ru-RU" w:eastAsia="ru-RU" w:bidi="ru-RU"/>
      </w:rPr>
    </w:lvl>
    <w:lvl w:ilvl="5" w:tplc="7EF4E22A">
      <w:numFmt w:val="bullet"/>
      <w:lvlText w:val="•"/>
      <w:lvlJc w:val="left"/>
      <w:pPr>
        <w:ind w:left="5423" w:hanging="293"/>
      </w:pPr>
      <w:rPr>
        <w:rFonts w:hint="default"/>
        <w:lang w:val="ru-RU" w:eastAsia="ru-RU" w:bidi="ru-RU"/>
      </w:rPr>
    </w:lvl>
    <w:lvl w:ilvl="6" w:tplc="1C72BE90">
      <w:numFmt w:val="bullet"/>
      <w:lvlText w:val="•"/>
      <w:lvlJc w:val="left"/>
      <w:pPr>
        <w:ind w:left="6459" w:hanging="293"/>
      </w:pPr>
      <w:rPr>
        <w:rFonts w:hint="default"/>
        <w:lang w:val="ru-RU" w:eastAsia="ru-RU" w:bidi="ru-RU"/>
      </w:rPr>
    </w:lvl>
    <w:lvl w:ilvl="7" w:tplc="31C4734A">
      <w:numFmt w:val="bullet"/>
      <w:lvlText w:val="•"/>
      <w:lvlJc w:val="left"/>
      <w:pPr>
        <w:ind w:left="7496" w:hanging="293"/>
      </w:pPr>
      <w:rPr>
        <w:rFonts w:hint="default"/>
        <w:lang w:val="ru-RU" w:eastAsia="ru-RU" w:bidi="ru-RU"/>
      </w:rPr>
    </w:lvl>
    <w:lvl w:ilvl="8" w:tplc="72326596">
      <w:numFmt w:val="bullet"/>
      <w:lvlText w:val="•"/>
      <w:lvlJc w:val="left"/>
      <w:pPr>
        <w:ind w:left="8533" w:hanging="293"/>
      </w:pPr>
      <w:rPr>
        <w:rFonts w:hint="default"/>
        <w:lang w:val="ru-RU" w:eastAsia="ru-RU" w:bidi="ru-RU"/>
      </w:rPr>
    </w:lvl>
  </w:abstractNum>
  <w:abstractNum w:abstractNumId="3" w15:restartNumberingAfterBreak="0">
    <w:nsid w:val="389D0C7A"/>
    <w:multiLevelType w:val="hybridMultilevel"/>
    <w:tmpl w:val="EDC08DCA"/>
    <w:lvl w:ilvl="0" w:tplc="9D207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62646C"/>
    <w:multiLevelType w:val="hybridMultilevel"/>
    <w:tmpl w:val="97EE2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5D74"/>
    <w:multiLevelType w:val="hybridMultilevel"/>
    <w:tmpl w:val="E6E8FA04"/>
    <w:lvl w:ilvl="0" w:tplc="4CE6A8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A"/>
    <w:rsid w:val="00002F80"/>
    <w:rsid w:val="000534B3"/>
    <w:rsid w:val="000A2EC1"/>
    <w:rsid w:val="000D4C73"/>
    <w:rsid w:val="00127A5D"/>
    <w:rsid w:val="001D479C"/>
    <w:rsid w:val="003754C1"/>
    <w:rsid w:val="004670B6"/>
    <w:rsid w:val="005448DC"/>
    <w:rsid w:val="00573E81"/>
    <w:rsid w:val="00700851"/>
    <w:rsid w:val="007258C2"/>
    <w:rsid w:val="007940E1"/>
    <w:rsid w:val="007F67DA"/>
    <w:rsid w:val="00AF34C1"/>
    <w:rsid w:val="00B52E0B"/>
    <w:rsid w:val="00C7228E"/>
    <w:rsid w:val="00D52B86"/>
    <w:rsid w:val="00F35E7F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F45D"/>
  <w15:docId w15:val="{D0D5794F-6007-469F-9BED-1A4D2CA9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rsid w:val="00F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100"/>
    <w:rPr>
      <w:b/>
      <w:bCs/>
    </w:rPr>
  </w:style>
  <w:style w:type="character" w:styleId="a5">
    <w:name w:val="Emphasis"/>
    <w:basedOn w:val="a0"/>
    <w:uiPriority w:val="20"/>
    <w:qFormat/>
    <w:rsid w:val="00F74100"/>
    <w:rPr>
      <w:i/>
      <w:iCs/>
    </w:rPr>
  </w:style>
  <w:style w:type="paragraph" w:styleId="a6">
    <w:name w:val="List Paragraph"/>
    <w:basedOn w:val="a"/>
    <w:uiPriority w:val="99"/>
    <w:qFormat/>
    <w:rsid w:val="00C72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4670B6"/>
    <w:pPr>
      <w:widowControl w:val="0"/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4670B6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customStyle="1" w:styleId="CharChar">
    <w:name w:val="Char Char Знак Знак Знак"/>
    <w:basedOn w:val="a"/>
    <w:rsid w:val="004670B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9">
    <w:name w:val="Balloon Text"/>
    <w:basedOn w:val="a"/>
    <w:link w:val="aa"/>
    <w:uiPriority w:val="99"/>
    <w:semiHidden/>
    <w:unhideWhenUsed/>
    <w:rsid w:val="0070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85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0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564bbfd5-135d-45a3-9c94-a94f9147d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Olga Shablya</cp:lastModifiedBy>
  <cp:revision>10</cp:revision>
  <cp:lastPrinted>2023-03-01T08:15:00Z</cp:lastPrinted>
  <dcterms:created xsi:type="dcterms:W3CDTF">2023-03-01T05:24:00Z</dcterms:created>
  <dcterms:modified xsi:type="dcterms:W3CDTF">2023-03-06T14:03:00Z</dcterms:modified>
</cp:coreProperties>
</file>