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7A" w:rsidRDefault="00D3647A" w:rsidP="00D364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Налоговые поступления.</w:t>
      </w:r>
    </w:p>
    <w:p w:rsidR="00D3647A" w:rsidRDefault="00D3647A" w:rsidP="00D3647A">
      <w:pPr>
        <w:ind w:firstLine="709"/>
        <w:jc w:val="both"/>
        <w:rPr>
          <w:sz w:val="28"/>
          <w:szCs w:val="28"/>
        </w:rPr>
      </w:pPr>
    </w:p>
    <w:p w:rsidR="00D3647A" w:rsidRDefault="00D3647A" w:rsidP="00D36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поступления в консолидированный бюджет составили </w:t>
      </w:r>
      <w:r>
        <w:rPr>
          <w:iCs/>
          <w:sz w:val="28"/>
          <w:szCs w:val="28"/>
        </w:rPr>
        <w:t>487,3 млн. рублей</w:t>
      </w:r>
      <w:r>
        <w:rPr>
          <w:sz w:val="28"/>
          <w:szCs w:val="28"/>
        </w:rPr>
        <w:t xml:space="preserve">. По сравнению 2013 годом объем консолидированных поступлений увеличился на 6,6% или на 30,1 млн. рублей. </w:t>
      </w:r>
    </w:p>
    <w:p w:rsidR="00D3647A" w:rsidRDefault="00D3647A" w:rsidP="00D36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Изменилась структура и динамика доходов консолидированных поступлений по видам экономической деятельности. Наибольший удельный вес в доходах консолидированного бюджета – 24,3% или 118,4 млн. руб. - занимают обрабатывающие предприятия. Их удельный вес в общих доходах снизился на 0,2%. Однако в абсолютном выражение поступления по   обрабатывающим предприятиям увеличились на 6,4 млн. руб. </w:t>
      </w:r>
    </w:p>
    <w:p w:rsidR="00D3647A" w:rsidRDefault="00D3647A" w:rsidP="00D36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долю предприятий, производящих пищевые продукты, приходится 17,6% или 85,5 млн. руб., в том числе производство сахара – 11% или 53,3 млн. руб.  </w:t>
      </w:r>
    </w:p>
    <w:p w:rsidR="00D3647A" w:rsidRDefault="00D3647A" w:rsidP="00D36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 оптовой и розничной торговли обеспечивают 14,2% поступлений консолидированного бюджета, организации государственного управления – 13,7%, образования – 11,9%, транспорта и связи  – 7%. </w:t>
      </w:r>
    </w:p>
    <w:p w:rsidR="00D3647A" w:rsidRDefault="00D3647A" w:rsidP="00D3647A">
      <w:pPr>
        <w:pStyle w:val="2"/>
        <w:spacing w:line="240" w:lineRule="auto"/>
        <w:ind w:firstLine="709"/>
        <w:rPr>
          <w:iCs/>
          <w:szCs w:val="28"/>
        </w:rPr>
      </w:pPr>
      <w:r>
        <w:rPr>
          <w:iCs/>
          <w:szCs w:val="28"/>
        </w:rPr>
        <w:t xml:space="preserve">Несмотря на положительную динамику поступлений в консолидированный бюджет достичь уровня собираемости налоговых доходов по сравнению с прошлым годом и установленным ФНС показателям не удалось. </w:t>
      </w:r>
    </w:p>
    <w:p w:rsidR="00D3647A" w:rsidRDefault="00D3647A" w:rsidP="00D3647A">
      <w:pPr>
        <w:pStyle w:val="2"/>
        <w:spacing w:line="240" w:lineRule="auto"/>
        <w:ind w:firstLine="709"/>
      </w:pPr>
      <w:r>
        <w:rPr>
          <w:iCs/>
          <w:szCs w:val="28"/>
        </w:rPr>
        <w:t>По состоянию на 01.01.2015 года у</w:t>
      </w:r>
      <w:r>
        <w:rPr>
          <w:iCs/>
        </w:rPr>
        <w:t>ровень собираемости администрируемых налогов составил 97,1%</w:t>
      </w:r>
      <w:r>
        <w:t xml:space="preserve"> и снизился к уровню соответствующего периода прошлого года на 7,9%. </w:t>
      </w:r>
    </w:p>
    <w:p w:rsidR="00D3647A" w:rsidRDefault="00D3647A" w:rsidP="00D3647A">
      <w:pPr>
        <w:pStyle w:val="2"/>
        <w:spacing w:line="240" w:lineRule="auto"/>
        <w:ind w:firstLine="709"/>
        <w:rPr>
          <w:iCs/>
        </w:rPr>
      </w:pPr>
      <w:r>
        <w:rPr>
          <w:iCs/>
        </w:rPr>
        <w:t>Низкий уровень собираемости налоговых доходов сложился по налогу на прибыль, зачисляемому в бюджет субъекта РФ (76,4%), налогу на имущество физических лиц (86,7%), по налогу на имущество организаций (89,6%).</w:t>
      </w:r>
    </w:p>
    <w:p w:rsidR="00D3647A" w:rsidRDefault="00D3647A" w:rsidP="00D3647A">
      <w:pPr>
        <w:pStyle w:val="2"/>
        <w:spacing w:line="240" w:lineRule="auto"/>
        <w:ind w:firstLine="709"/>
        <w:rPr>
          <w:iCs/>
        </w:rPr>
      </w:pPr>
      <w:r>
        <w:rPr>
          <w:iCs/>
        </w:rPr>
        <w:t xml:space="preserve">Из общего объема поступлений в территориальный бюджет перечислено 600,8  млн. руб., что выше 2013 года на 6,1% или на 34,5 млн. руб. </w:t>
      </w:r>
    </w:p>
    <w:p w:rsidR="00D3647A" w:rsidRDefault="00D3647A" w:rsidP="00D3647A">
      <w:pPr>
        <w:pStyle w:val="2"/>
        <w:spacing w:line="240" w:lineRule="auto"/>
        <w:ind w:firstLine="709"/>
        <w:rPr>
          <w:iCs/>
          <w:szCs w:val="28"/>
        </w:rPr>
      </w:pPr>
      <w:r>
        <w:rPr>
          <w:iCs/>
        </w:rPr>
        <w:t xml:space="preserve">Основную долю поступлений территориального бюджета составляют поступления налога на доходы физических лиц - 67%, имущественных налогов -  19,6%, налога, уплачиваемого в соответствии со специальными режимами налогообложения- 8%. </w:t>
      </w:r>
      <w:r>
        <w:rPr>
          <w:iCs/>
          <w:szCs w:val="28"/>
        </w:rPr>
        <w:t>Поступления налога на прибыль составили 5,5% в объеме поступлений территориального бюджета.</w:t>
      </w:r>
    </w:p>
    <w:p w:rsidR="00D3647A" w:rsidRDefault="00D3647A" w:rsidP="00D3647A">
      <w:pPr>
        <w:pStyle w:val="2"/>
        <w:spacing w:line="240" w:lineRule="auto"/>
        <w:ind w:firstLine="709"/>
        <w:rPr>
          <w:iCs/>
        </w:rPr>
      </w:pPr>
      <w:r>
        <w:rPr>
          <w:iCs/>
        </w:rPr>
        <w:t>Обеспечена положительная динамика поступлений основных доходов территориального бюджета. Значительно увеличились  поступления налогов, взимаемых с применением упрощенной системы налогообложения на 32%, земельного налога на 25,8%, налога на имущество физических лиц на 34,9%. Темп роста поступлений НДФЛ составил 108,8%, имущественных налогов - 108,2%.</w:t>
      </w:r>
    </w:p>
    <w:p w:rsidR="00D3647A" w:rsidRDefault="00D3647A" w:rsidP="00D3647A">
      <w:pPr>
        <w:pStyle w:val="2"/>
        <w:spacing w:line="240" w:lineRule="auto"/>
        <w:ind w:firstLine="709"/>
        <w:rPr>
          <w:iCs/>
        </w:rPr>
      </w:pPr>
      <w:r>
        <w:rPr>
          <w:iCs/>
        </w:rPr>
        <w:t xml:space="preserve">Однако по налогу на прибыль, налогу на имущество организаций  и по единому сельскохозяйственному налогу сложилась отрицательная динамика поступлений. </w:t>
      </w:r>
    </w:p>
    <w:p w:rsidR="00D3647A" w:rsidRDefault="00D3647A" w:rsidP="00D3647A">
      <w:pPr>
        <w:pStyle w:val="2"/>
        <w:spacing w:line="240" w:lineRule="auto"/>
        <w:ind w:firstLine="709"/>
        <w:rPr>
          <w:iCs/>
        </w:rPr>
      </w:pP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647A"/>
    <w:rsid w:val="00325BF4"/>
    <w:rsid w:val="007E7B09"/>
    <w:rsid w:val="007F6C9F"/>
    <w:rsid w:val="00944A51"/>
    <w:rsid w:val="00D3647A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3647A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364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Company>Администрация Колпнянского р-на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dcterms:created xsi:type="dcterms:W3CDTF">2015-02-16T03:54:00Z</dcterms:created>
  <dcterms:modified xsi:type="dcterms:W3CDTF">2015-02-16T03:54:00Z</dcterms:modified>
</cp:coreProperties>
</file>