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28" w:rsidRPr="000E4D28" w:rsidRDefault="000E4D28" w:rsidP="000E4D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9"/>
          <w:szCs w:val="49"/>
          <w:lang w:eastAsia="ru-RU"/>
        </w:rPr>
      </w:pPr>
      <w:r w:rsidRPr="000E4D28">
        <w:rPr>
          <w:rFonts w:ascii="Times New Roman" w:eastAsia="Times New Roman" w:hAnsi="Times New Roman" w:cs="Times New Roman"/>
          <w:b/>
          <w:bCs/>
          <w:kern w:val="36"/>
          <w:sz w:val="49"/>
          <w:szCs w:val="49"/>
          <w:lang w:eastAsia="ru-RU"/>
        </w:rPr>
        <w:t>Критерии доступности и качества</w:t>
      </w:r>
    </w:p>
    <w:p w:rsidR="000E4D28" w:rsidRPr="000E4D28" w:rsidRDefault="000E4D28" w:rsidP="000E4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0E4D28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VIII. Целевые значения критериев доступности и качества медицинской помощи, оказываемой в рамках Программы государственных гарантий бесплатного оказания гражданам медицинской помощи на территории Орловской области на 2016 год</w:t>
      </w:r>
    </w:p>
    <w:p w:rsidR="000E4D28" w:rsidRPr="000E4D28" w:rsidRDefault="000E4D28" w:rsidP="000E4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Критериями качества медицинской помощи являются: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удовлетворенность населения медицинской помощью, в том числе городского и сельского населения (процентов числа опрошенных) — 85%, городское население — 90%, сельское население — 80%;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смертность населения от болезней системы кровообращения, в том числе городского и сельского населения (число умерших от болезней системы кровообращения на 100 тыс. человек населения) — 1020,0; городское население — 889,9, сельское население — 1254,4;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смертность населения от злокачественных новообразований, в том числе городского и сельского населения (число умерших от злокачественных новообразований на 100 тыс. человек населения) — 227,0: городское население — 183,9, сельское население — ¬281,7;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смертность населения от туберкулеза, в том числе городского и сельского населения (случаев на 100 тыс. человек населения) — 3,1; городское население -1,5; сельское население — 3,8;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смертность населения в трудоспособном возрасте (число умерших в трудоспособном возрасте на 100 тыс. человек населения) — 610;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смертность населения трудоспособного возраста от болезней системы кровообращения (число умерших от болезней системы кровообращения в трудоспособном возрасте на 100 тыс. человек населения) — 225,0;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умерших в трудоспособном возрасте на дому в общем количестве умерших в трудоспособном возрасте — 32,8%;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материнская смертность (на 100 тыс. человек, родившихся живыми) — 11,6;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младенческая смертность (на 1000 человек, родившихся живыми, в том числе в городской и сельской местности) — 9,2; городское население — 7,5, сельское население — 9,8;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умерших в возрасте до 1 года на дому в общем количестве умерших в возрасте до 1 года — не более 10%;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смертность детей в возрасте 0 — 4 лет (на 100 тыс. человек населения соответствующего возраста) — 225,0;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умерших в возрасте 0 — 4 лет на дому в общем количестве умерших в возрасте 0 — 4 лет — не более 10%;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смертность детей в возрасте 0 — 17 лет (на 100 тыс. человек населения соответствующего возраста) — 85,0;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умерших в возрасте 0 — 17 лет на дому в общем количестве умерших в возрасте 0 — 17 лет — не более 10%;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пациентов со злокачественными новообразованиями, состоящих на учете с момента установления диагноза 5 лет и более, в общем числе пациентов со злокачественными новообразованиями, состоящих на учете — 54,8%;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доля впервые выявленных случаев фиброзно-кавернозного туберкулеза в общем количестве выявленных случаев туберкулеза в течение года — 0,5%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впервые выявленных случаев онкологических заболеваний на ранних стадиях (I и II стадии) в общем количестве выявленных случаев онкологических заболеваний в течение года — 54,2%;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пациентов с инфарктом миокарда, госпитализированных в первые 6 часов от начала заболевания, в общем количестве госпитализированных пациентов с инфарктом миокарда — 44,7%;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пациентов с острым инфарктом миокарда, которым проведена тромболитическая терапия, в общем количестве пациентов с острым инфарктом миокарда — 20,2%;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пациентов с острым инфарктом миокарда, которым проведено стентирование коронарных артерий, в общем количестве пациентов с острым инфарктом миокарда — 13,5%;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пациентов с острым и повторным инфарктом миокарда, которым выездной бригадой скорой медицинской помощи проведен тромболизис в общем количестве пациентов с острым и повторным инфарктом миокарда, которым оказана медицинская помощь выездными бригадами скорой медицинской помощи — 5,1%;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пациентов с острыми цереброваскулярными болезнями, госпитализированных в первые 6 часов от начала заболевания, в общем количестве госпитализированных пациентов с острыми цереброваскулярными болезнями — 29%;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пациентов с острым ишемическим инсультом, которым проведена тромболитическая терапия в первые 6 часов госпитализации, в общем количестве пациентов с острым ишемическим инсультом — 6%;</w:t>
      </w:r>
    </w:p>
    <w:p w:rsidR="000E4D28" w:rsidRPr="000E4D28" w:rsidRDefault="000E4D28" w:rsidP="000E4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количество обоснованных жалоб, в том числе на отказ в оказании медицинской помощи, предоставляемой в рамках территориальной программы — 68.</w:t>
      </w:r>
    </w:p>
    <w:p w:rsidR="000E4D28" w:rsidRPr="000E4D28" w:rsidRDefault="000E4D28" w:rsidP="000E4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Критериями доступности медицинской помощи являются: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обеспеченность населения врачами (на 10 тыс. человек населения, включая городское и сельское население) — 34,0, в том числе оказывающими медицинскую помощь в амбулаторных — 17,6 и стационарных условиях — 14,8;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обеспеченность населения средним медицинским персоналом (на 10 тыс. человек населения, включая городское и сельское население), в том числе оказывающим медицинскую помощь в амбулаторных и стационарных условиях -107,9;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средняя длительность лечения в медицинских организациях, оказывающих медицинскую помощь в стационарных условиях (в среднем по субъекту Российской Федерации) — 11,6;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расходов на оказание медицинской помощи в условиях дневных стационаров в общих расходах на территориальную программу — 6,2;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расходов на оказание медицинской помощи в амбулаторных условиях в неотложной форме в общих расходах на территориальную программу — 2,2;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охвата профилактическими медицинскими осмотрами детей -90%, в том числе городских — 90,0% и сельских жителей — 90,0%;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доля пациентов, получивших специализированную медицинскую помощь в стационарных условиях в медицинских организациях, подведомственных </w:t>
      </w: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федеральным органам исполнительной власти, в общем числе пациентов, которым была оказана медицинская помощь в стационарных условиях в рамках территориальной программы обязательного медицинского страхования — 0,5%;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число лиц, проживающих в сельской местности, которым оказана скорая медицинская помощь, на 1000 человек сельского населения — 214,7;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фельдшерско-акушерских пунктов и фельдшерских пунктов, находящихся в аварийном состоянии и требующих капитального ремонта, в общем количестве фельдшерско-акушерских пунктов и фельдшерских пунктов — 80%;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среднегодовая по области занятость койки в учреждениях здравоохранения в 2016 году — 332 дня, в городской местности -332 дня; в сельской местности — 332 дня;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выездов бригад скорой медицинской помощи со временем доезда до пациента менее 20 минут с момента вызова в общем количестве вызовов — 87,3%;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 функции врачебной должности — 100%;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объема специализированной, в том числе высокотехнологичной, медицинской помощи, оказанной гражданам, проживающим за пределами субъекта Российской Федерации, в котором расположена медицинская организация, подведомственная федеральному органу исполнительной власти, в общем объеме медицинской помощи, оказанной этой медицинской организацией (за исключением медицинских организаций, имеющих прикрепленное население) (целевое значение — не менее 50 процентов). На территории Орловской области нет федеральных учреждений здравоохранения;</w:t>
      </w:r>
    </w:p>
    <w:p w:rsidR="000E4D28" w:rsidRPr="000E4D28" w:rsidRDefault="000E4D28" w:rsidP="000E4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4D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доходов за счет средств обязательного медицинского страхования в 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 состояниях, входящих в базовую программу обязательного медицинского страхования, — не менее 20 процентов). На территории Орловской области нет федеральных учреждений здравоохранения.</w:t>
      </w:r>
    </w:p>
    <w:p w:rsidR="00F76081" w:rsidRDefault="00F76081"/>
    <w:sectPr w:rsidR="00F76081" w:rsidSect="00F7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4A6"/>
    <w:multiLevelType w:val="multilevel"/>
    <w:tmpl w:val="3D70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E3496"/>
    <w:multiLevelType w:val="multilevel"/>
    <w:tmpl w:val="209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D28"/>
    <w:rsid w:val="000E4D28"/>
    <w:rsid w:val="00F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1"/>
  </w:style>
  <w:style w:type="paragraph" w:styleId="1">
    <w:name w:val="heading 1"/>
    <w:basedOn w:val="a"/>
    <w:link w:val="10"/>
    <w:uiPriority w:val="9"/>
    <w:qFormat/>
    <w:rsid w:val="000E4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4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D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2016-08-02T14:57:00Z</dcterms:created>
  <dcterms:modified xsi:type="dcterms:W3CDTF">2016-08-02T14:57:00Z</dcterms:modified>
</cp:coreProperties>
</file>